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603B" w14:textId="5549D98F" w:rsidR="0088304F" w:rsidRDefault="001E331E" w:rsidP="009F6299">
      <w:pPr>
        <w:spacing w:after="360"/>
        <w:jc w:val="right"/>
      </w:pPr>
      <w:r>
        <w:t>April 202</w:t>
      </w:r>
      <w:r w:rsidR="00FF4DDA">
        <w:t>4</w:t>
      </w:r>
    </w:p>
    <w:p w14:paraId="3B5F011B" w14:textId="0F4D7AB6" w:rsidR="00303466" w:rsidRPr="002E4BD9" w:rsidRDefault="00FF4DDA" w:rsidP="00FF4DDA">
      <w:pPr>
        <w:pStyle w:val="Heading1"/>
      </w:pPr>
      <w:bookmarkStart w:id="0" w:name="_Toc161849598"/>
      <w:r>
        <w:t>Same day surgery admission model: Supplement 1. Implementation checklist and action plan</w:t>
      </w:r>
      <w:bookmarkEnd w:id="0"/>
    </w:p>
    <w:p w14:paraId="46BA2B45" w14:textId="4607F1DC" w:rsidR="00303466" w:rsidRPr="00974161" w:rsidRDefault="007F38FB" w:rsidP="00303466">
      <w:pPr>
        <w:pStyle w:val="Introduction"/>
        <w:rPr>
          <w:rStyle w:val="Strong"/>
          <w:b w:val="0"/>
          <w:bCs w:val="0"/>
        </w:rPr>
      </w:pPr>
      <w:r w:rsidRPr="00974161">
        <w:rPr>
          <w:rStyle w:val="Strong"/>
          <w:b w:val="0"/>
          <w:bCs w:val="0"/>
        </w:rPr>
        <w:t xml:space="preserve">This document is a supplement to </w:t>
      </w:r>
      <w:r w:rsidR="003061F7" w:rsidRPr="00974161">
        <w:rPr>
          <w:rStyle w:val="Strong"/>
          <w:b w:val="0"/>
          <w:bCs w:val="0"/>
        </w:rPr>
        <w:t xml:space="preserve">the </w:t>
      </w:r>
      <w:hyperlink r:id="rId11" w:history="1">
        <w:r w:rsidR="003E7723" w:rsidRPr="000B51FB">
          <w:rPr>
            <w:rStyle w:val="Hyperlink"/>
          </w:rPr>
          <w:t>Same day surgery admission model</w:t>
        </w:r>
        <w:r w:rsidR="006830D4" w:rsidRPr="000B51FB">
          <w:rPr>
            <w:rStyle w:val="Hyperlink"/>
          </w:rPr>
          <w:t xml:space="preserve">: </w:t>
        </w:r>
        <w:r w:rsidR="00DA1219" w:rsidRPr="000B51FB">
          <w:rPr>
            <w:rStyle w:val="Hyperlink"/>
          </w:rPr>
          <w:t xml:space="preserve">A guide to day stay </w:t>
        </w:r>
        <w:r w:rsidR="00A12661" w:rsidRPr="000B51FB">
          <w:rPr>
            <w:rStyle w:val="Hyperlink"/>
          </w:rPr>
          <w:t xml:space="preserve">and extended </w:t>
        </w:r>
        <w:r w:rsidR="00C80C47" w:rsidRPr="000B51FB">
          <w:rPr>
            <w:rStyle w:val="Hyperlink"/>
          </w:rPr>
          <w:t>stay surgical admissions</w:t>
        </w:r>
      </w:hyperlink>
      <w:r w:rsidR="00C80C47" w:rsidRPr="00974161">
        <w:t xml:space="preserve">, published by the Agency for Clinical Innovation (ACI) Surgical </w:t>
      </w:r>
      <w:r w:rsidR="00974161" w:rsidRPr="00974161">
        <w:t>Care N</w:t>
      </w:r>
      <w:r w:rsidR="00C80C47" w:rsidRPr="00974161">
        <w:t>etwork</w:t>
      </w:r>
      <w:r w:rsidR="0011353C">
        <w:t>. Th</w:t>
      </w:r>
      <w:r w:rsidR="00C717B9">
        <w:t>e</w:t>
      </w:r>
      <w:r w:rsidR="002C3288">
        <w:t xml:space="preserve"> purpose of this</w:t>
      </w:r>
      <w:r w:rsidR="0011353C">
        <w:t xml:space="preserve"> implementation checklist </w:t>
      </w:r>
      <w:r w:rsidR="002C3288">
        <w:t xml:space="preserve">is to </w:t>
      </w:r>
      <w:r w:rsidR="002C3288" w:rsidRPr="00BF0EB0">
        <w:rPr>
          <w:lang w:val="en-US"/>
        </w:rPr>
        <w:t xml:space="preserve">provide direction to NSW Health </w:t>
      </w:r>
      <w:proofErr w:type="spellStart"/>
      <w:r w:rsidR="002C3288" w:rsidRPr="00BF0EB0">
        <w:rPr>
          <w:lang w:val="en-US"/>
        </w:rPr>
        <w:t>organisations</w:t>
      </w:r>
      <w:proofErr w:type="spellEnd"/>
      <w:r w:rsidR="002C3288" w:rsidRPr="00BF0EB0">
        <w:rPr>
          <w:lang w:val="en-US"/>
        </w:rPr>
        <w:t xml:space="preserve"> to implement the </w:t>
      </w:r>
      <w:r w:rsidR="002C3288">
        <w:rPr>
          <w:lang w:val="en-US"/>
        </w:rPr>
        <w:t>same day (</w:t>
      </w:r>
      <w:r w:rsidR="002C3288" w:rsidRPr="00BF0EB0">
        <w:rPr>
          <w:lang w:val="en-US"/>
        </w:rPr>
        <w:t>SD</w:t>
      </w:r>
      <w:r w:rsidR="002C3288">
        <w:rPr>
          <w:lang w:val="en-US"/>
        </w:rPr>
        <w:t>)</w:t>
      </w:r>
      <w:r w:rsidR="002C3288" w:rsidRPr="00BF0EB0">
        <w:rPr>
          <w:lang w:val="en-US"/>
        </w:rPr>
        <w:t xml:space="preserve"> and </w:t>
      </w:r>
      <w:r w:rsidR="006830D4">
        <w:rPr>
          <w:lang w:val="en-US"/>
        </w:rPr>
        <w:t>extended stay (</w:t>
      </w:r>
      <w:r w:rsidR="002C3288" w:rsidRPr="00BF0EB0">
        <w:rPr>
          <w:lang w:val="en-US"/>
        </w:rPr>
        <w:t>ED</w:t>
      </w:r>
      <w:r w:rsidR="006830D4">
        <w:rPr>
          <w:lang w:val="en-US"/>
        </w:rPr>
        <w:t>)</w:t>
      </w:r>
      <w:r w:rsidR="002C3288" w:rsidRPr="00BF0EB0">
        <w:rPr>
          <w:lang w:val="en-US"/>
        </w:rPr>
        <w:t xml:space="preserve"> surgery admission model.</w:t>
      </w:r>
      <w:r w:rsidR="002C3288" w:rsidRPr="00BF0EB0">
        <w:t> </w:t>
      </w:r>
    </w:p>
    <w:p w14:paraId="05F5EADA" w14:textId="77777777" w:rsidR="00303466" w:rsidRDefault="00303466" w:rsidP="00303466"/>
    <w:tbl>
      <w:tblPr>
        <w:tblStyle w:val="GridTable4-Accent61"/>
        <w:tblW w:w="15144" w:type="dxa"/>
        <w:tblLook w:val="04A0" w:firstRow="1" w:lastRow="0" w:firstColumn="1" w:lastColumn="0" w:noHBand="0" w:noVBand="1"/>
      </w:tblPr>
      <w:tblGrid>
        <w:gridCol w:w="3117"/>
        <w:gridCol w:w="6214"/>
        <w:gridCol w:w="1888"/>
        <w:gridCol w:w="1962"/>
        <w:gridCol w:w="1963"/>
      </w:tblGrid>
      <w:tr w:rsidR="00356CCD" w:rsidRPr="00356CCD" w14:paraId="49AB30C2" w14:textId="77777777" w:rsidTr="00356CCD">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331" w:type="dxa"/>
            <w:gridSpan w:val="2"/>
            <w:hideMark/>
          </w:tcPr>
          <w:p w14:paraId="29FB903B" w14:textId="77777777" w:rsidR="00356CCD" w:rsidRPr="00356CCD" w:rsidRDefault="00356CCD" w:rsidP="00356CCD">
            <w:pPr>
              <w:adjustRightInd w:val="0"/>
              <w:snapToGrid w:val="0"/>
              <w:spacing w:after="240"/>
              <w:rPr>
                <w:color w:val="FFFFFF"/>
              </w:rPr>
            </w:pPr>
            <w:r w:rsidRPr="00356CCD">
              <w:rPr>
                <w:color w:val="FFFFFF"/>
                <w:lang w:val="en-US"/>
              </w:rPr>
              <w:t>Assessed by:</w:t>
            </w:r>
            <w:r w:rsidRPr="00356CCD">
              <w:rPr>
                <w:color w:val="FFFFFF"/>
              </w:rPr>
              <w:t> </w:t>
            </w:r>
          </w:p>
        </w:tc>
        <w:tc>
          <w:tcPr>
            <w:tcW w:w="5813" w:type="dxa"/>
            <w:gridSpan w:val="3"/>
            <w:hideMark/>
          </w:tcPr>
          <w:p w14:paraId="32D8FE94" w14:textId="04C3BA8C" w:rsidR="00356CCD" w:rsidRPr="00356CCD" w:rsidRDefault="00356CCD" w:rsidP="00356CCD">
            <w:pPr>
              <w:adjustRightInd w:val="0"/>
              <w:snapToGrid w:val="0"/>
              <w:spacing w:after="240"/>
              <w:cnfStyle w:val="100000000000" w:firstRow="1" w:lastRow="0" w:firstColumn="0" w:lastColumn="0" w:oddVBand="0" w:evenVBand="0" w:oddHBand="0" w:evenHBand="0" w:firstRowFirstColumn="0" w:firstRowLastColumn="0" w:lastRowFirstColumn="0" w:lastRowLastColumn="0"/>
              <w:rPr>
                <w:color w:val="FFFFFF"/>
              </w:rPr>
            </w:pPr>
            <w:r w:rsidRPr="00356CCD">
              <w:rPr>
                <w:color w:val="FFFFFF"/>
                <w:lang w:val="en-US"/>
              </w:rPr>
              <w:t>Date of assessment:</w:t>
            </w:r>
            <w:r w:rsidRPr="00356CCD">
              <w:rPr>
                <w:color w:val="FFFFFF"/>
              </w:rPr>
              <w:t> </w:t>
            </w:r>
          </w:p>
        </w:tc>
      </w:tr>
      <w:tr w:rsidR="00356CCD" w:rsidRPr="00356CCD" w14:paraId="47ED90EB" w14:textId="77777777" w:rsidTr="00356CC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117" w:type="dxa"/>
            <w:hideMark/>
          </w:tcPr>
          <w:p w14:paraId="477A56C5" w14:textId="63D847D3" w:rsidR="00356CCD" w:rsidRPr="00356CCD" w:rsidRDefault="00356CCD" w:rsidP="00356CCD">
            <w:pPr>
              <w:adjustRightInd w:val="0"/>
              <w:snapToGrid w:val="0"/>
              <w:spacing w:after="240"/>
              <w:rPr>
                <w:color w:val="auto"/>
              </w:rPr>
            </w:pPr>
            <w:r w:rsidRPr="00356CCD">
              <w:rPr>
                <w:color w:val="auto"/>
                <w:lang w:val="en-US"/>
              </w:rPr>
              <w:t>Implementation actions:</w:t>
            </w:r>
            <w:r w:rsidRPr="00356CCD">
              <w:rPr>
                <w:color w:val="auto"/>
              </w:rPr>
              <w:t> </w:t>
            </w:r>
          </w:p>
        </w:tc>
        <w:tc>
          <w:tcPr>
            <w:tcW w:w="6214" w:type="dxa"/>
            <w:hideMark/>
          </w:tcPr>
          <w:p w14:paraId="3B5FAAAB"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b/>
                <w:bCs/>
                <w:color w:val="auto"/>
              </w:rPr>
            </w:pPr>
            <w:r w:rsidRPr="00356CCD">
              <w:rPr>
                <w:b/>
                <w:bCs/>
                <w:color w:val="auto"/>
                <w:lang w:val="en-US"/>
              </w:rPr>
              <w:t>Considerations</w:t>
            </w:r>
            <w:r w:rsidRPr="00356CCD">
              <w:rPr>
                <w:b/>
                <w:bCs/>
                <w:color w:val="auto"/>
              </w:rPr>
              <w:t> </w:t>
            </w:r>
          </w:p>
        </w:tc>
        <w:tc>
          <w:tcPr>
            <w:tcW w:w="1888" w:type="dxa"/>
            <w:hideMark/>
          </w:tcPr>
          <w:p w14:paraId="60233990" w14:textId="77777777" w:rsidR="00356CCD" w:rsidRPr="00356CCD" w:rsidRDefault="00356CCD" w:rsidP="00356CCD">
            <w:pPr>
              <w:adjustRightInd w:val="0"/>
              <w:snapToGrid w:val="0"/>
              <w:spacing w:after="240"/>
              <w:jc w:val="center"/>
              <w:cnfStyle w:val="000000100000" w:firstRow="0" w:lastRow="0" w:firstColumn="0" w:lastColumn="0" w:oddVBand="0" w:evenVBand="0" w:oddHBand="1" w:evenHBand="0" w:firstRowFirstColumn="0" w:firstRowLastColumn="0" w:lastRowFirstColumn="0" w:lastRowLastColumn="0"/>
              <w:rPr>
                <w:b/>
                <w:bCs/>
                <w:color w:val="auto"/>
              </w:rPr>
            </w:pPr>
            <w:r w:rsidRPr="00356CCD">
              <w:rPr>
                <w:b/>
                <w:bCs/>
                <w:color w:val="auto"/>
              </w:rPr>
              <w:t>N</w:t>
            </w:r>
            <w:proofErr w:type="spellStart"/>
            <w:r w:rsidRPr="00356CCD">
              <w:rPr>
                <w:b/>
                <w:bCs/>
                <w:color w:val="auto"/>
                <w:lang w:val="en-US"/>
              </w:rPr>
              <w:t>ot</w:t>
            </w:r>
            <w:proofErr w:type="spellEnd"/>
            <w:r w:rsidRPr="00356CCD">
              <w:rPr>
                <w:b/>
                <w:bCs/>
                <w:color w:val="auto"/>
                <w:lang w:val="en-US"/>
              </w:rPr>
              <w:t xml:space="preserve"> commenced</w:t>
            </w:r>
          </w:p>
        </w:tc>
        <w:tc>
          <w:tcPr>
            <w:tcW w:w="1962" w:type="dxa"/>
            <w:hideMark/>
          </w:tcPr>
          <w:p w14:paraId="4264222D" w14:textId="77777777" w:rsidR="00356CCD" w:rsidRPr="00356CCD" w:rsidRDefault="00356CCD" w:rsidP="00356CCD">
            <w:pPr>
              <w:adjustRightInd w:val="0"/>
              <w:snapToGrid w:val="0"/>
              <w:spacing w:after="240"/>
              <w:jc w:val="center"/>
              <w:cnfStyle w:val="000000100000" w:firstRow="0" w:lastRow="0" w:firstColumn="0" w:lastColumn="0" w:oddVBand="0" w:evenVBand="0" w:oddHBand="1" w:evenHBand="0" w:firstRowFirstColumn="0" w:firstRowLastColumn="0" w:lastRowFirstColumn="0" w:lastRowLastColumn="0"/>
              <w:rPr>
                <w:b/>
                <w:bCs/>
                <w:color w:val="auto"/>
              </w:rPr>
            </w:pPr>
            <w:r w:rsidRPr="00356CCD">
              <w:rPr>
                <w:b/>
                <w:bCs/>
                <w:color w:val="auto"/>
                <w:lang w:val="en-US"/>
              </w:rPr>
              <w:t>Partially implemented</w:t>
            </w:r>
          </w:p>
        </w:tc>
        <w:tc>
          <w:tcPr>
            <w:tcW w:w="1963" w:type="dxa"/>
            <w:hideMark/>
          </w:tcPr>
          <w:p w14:paraId="16800286" w14:textId="77777777" w:rsidR="00356CCD" w:rsidRPr="00356CCD" w:rsidRDefault="00356CCD" w:rsidP="00356CCD">
            <w:pPr>
              <w:adjustRightInd w:val="0"/>
              <w:snapToGrid w:val="0"/>
              <w:spacing w:after="240"/>
              <w:jc w:val="center"/>
              <w:cnfStyle w:val="000000100000" w:firstRow="0" w:lastRow="0" w:firstColumn="0" w:lastColumn="0" w:oddVBand="0" w:evenVBand="0" w:oddHBand="1" w:evenHBand="0" w:firstRowFirstColumn="0" w:firstRowLastColumn="0" w:lastRowFirstColumn="0" w:lastRowLastColumn="0"/>
              <w:rPr>
                <w:b/>
                <w:bCs/>
                <w:color w:val="auto"/>
              </w:rPr>
            </w:pPr>
            <w:r w:rsidRPr="00356CCD">
              <w:rPr>
                <w:b/>
                <w:bCs/>
                <w:color w:val="auto"/>
                <w:lang w:val="en-US"/>
              </w:rPr>
              <w:t>Fully implemented</w:t>
            </w:r>
          </w:p>
        </w:tc>
      </w:tr>
      <w:tr w:rsidR="00356CCD" w:rsidRPr="00356CCD" w14:paraId="7F055BF8" w14:textId="77777777" w:rsidTr="00F52FB4">
        <w:trPr>
          <w:trHeight w:val="329"/>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01D7EF92" w14:textId="77777777" w:rsidR="00356CCD" w:rsidRDefault="00356CCD" w:rsidP="00356CCD">
            <w:pPr>
              <w:adjustRightInd w:val="0"/>
              <w:snapToGrid w:val="0"/>
              <w:spacing w:after="240"/>
              <w:rPr>
                <w:b w:val="0"/>
                <w:bCs w:val="0"/>
                <w:color w:val="auto"/>
              </w:rPr>
            </w:pPr>
            <w:r w:rsidRPr="00356CCD">
              <w:rPr>
                <w:color w:val="auto"/>
                <w:lang w:val="en-US"/>
              </w:rPr>
              <w:t>Has the hospital identified a list of surgical procedures suitable for same day (SD) and extended day (ED) surgery admission model, based on local capabilities?</w:t>
            </w:r>
            <w:r w:rsidRPr="00356CCD">
              <w:rPr>
                <w:color w:val="auto"/>
              </w:rPr>
              <w:t> </w:t>
            </w:r>
          </w:p>
          <w:p w14:paraId="19D38DFA" w14:textId="77777777" w:rsidR="001C1B67" w:rsidRDefault="001C1B67" w:rsidP="00356CCD">
            <w:pPr>
              <w:adjustRightInd w:val="0"/>
              <w:snapToGrid w:val="0"/>
              <w:spacing w:after="240"/>
              <w:rPr>
                <w:b w:val="0"/>
                <w:bCs w:val="0"/>
                <w:color w:val="auto"/>
              </w:rPr>
            </w:pPr>
          </w:p>
          <w:p w14:paraId="7FDD50B9" w14:textId="77777777" w:rsidR="00885ABC" w:rsidRPr="00356CCD" w:rsidRDefault="00885ABC" w:rsidP="00356CCD">
            <w:pPr>
              <w:adjustRightInd w:val="0"/>
              <w:snapToGrid w:val="0"/>
              <w:spacing w:after="240"/>
              <w:rPr>
                <w:color w:val="auto"/>
              </w:rPr>
            </w:pPr>
          </w:p>
        </w:tc>
        <w:tc>
          <w:tcPr>
            <w:tcW w:w="6214" w:type="dxa"/>
            <w:vMerge w:val="restart"/>
            <w:hideMark/>
          </w:tcPr>
          <w:p w14:paraId="686EC2BD" w14:textId="7B4867FA"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80% of all planned surgery should default to a SD surgery pathway.</w:t>
            </w:r>
            <w:r w:rsidRPr="00356CCD">
              <w:rPr>
                <w:color w:val="auto"/>
              </w:rPr>
              <w:t> </w:t>
            </w:r>
          </w:p>
          <w:p w14:paraId="7C31BE79" w14:textId="354010E8" w:rsidR="00356CCD" w:rsidRPr="000B51FB"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0B51FB">
              <w:rPr>
                <w:color w:val="auto"/>
                <w:lang w:val="en-US"/>
              </w:rPr>
              <w:t xml:space="preserve">Select procedures listed in </w:t>
            </w:r>
            <w:hyperlink r:id="rId12" w:history="1">
              <w:r w:rsidRPr="000B51FB">
                <w:rPr>
                  <w:rStyle w:val="Hyperlink"/>
                  <w:rFonts w:eastAsiaTheme="minorEastAsia" w:cstheme="minorBidi"/>
                  <w:lang w:val="en-US" w:eastAsia="ja-JP"/>
                </w:rPr>
                <w:t>Supplement 2: Procedures suitable for day only or extended day only surgical admission</w:t>
              </w:r>
            </w:hyperlink>
            <w:r w:rsidRPr="000B51FB">
              <w:rPr>
                <w:color w:val="auto"/>
                <w:lang w:val="en-US" w:eastAsia="ja-JP"/>
              </w:rPr>
              <w:t>.</w:t>
            </w:r>
            <w:r w:rsidRPr="000B51FB">
              <w:rPr>
                <w:color w:val="auto"/>
                <w:lang w:val="en-US"/>
              </w:rPr>
              <w:t xml:space="preserve"> Should be SD surgery by default.</w:t>
            </w:r>
            <w:r w:rsidRPr="000B51FB">
              <w:rPr>
                <w:color w:val="auto"/>
              </w:rPr>
              <w:t> </w:t>
            </w:r>
          </w:p>
          <w:p w14:paraId="1B6524CA" w14:textId="6FCAA531"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 xml:space="preserve">Has the list of identified procedures been reviewed by the hospital surgical multidisciplinary team or Director of Surgery? Refer to the </w:t>
            </w:r>
            <w:hyperlink r:id="rId13" w:history="1">
              <w:r w:rsidRPr="00651CD7">
                <w:rPr>
                  <w:rStyle w:val="Hyperlink"/>
                  <w:lang w:val="en-US"/>
                </w:rPr>
                <w:t>Value-based surgery: Clinical practice guide</w:t>
              </w:r>
            </w:hyperlink>
            <w:r w:rsidRPr="00651CD7">
              <w:rPr>
                <w:color w:val="auto"/>
                <w:lang w:val="en-US"/>
              </w:rPr>
              <w:t>.</w:t>
            </w:r>
            <w:r w:rsidRPr="00356CCD">
              <w:rPr>
                <w:color w:val="auto"/>
              </w:rPr>
              <w:t> </w:t>
            </w:r>
          </w:p>
        </w:tc>
        <w:tc>
          <w:tcPr>
            <w:tcW w:w="1888" w:type="dxa"/>
          </w:tcPr>
          <w:p w14:paraId="1241248A"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tcPr>
          <w:p w14:paraId="68237CBA"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tcPr>
          <w:p w14:paraId="3474C70F"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14305296" w14:textId="77777777" w:rsidTr="00356CCD">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0" w:type="auto"/>
            <w:vMerge/>
            <w:hideMark/>
          </w:tcPr>
          <w:p w14:paraId="0BA62AEA" w14:textId="77777777" w:rsidR="00356CCD" w:rsidRPr="00356CCD" w:rsidRDefault="00356CCD" w:rsidP="00356CCD">
            <w:pPr>
              <w:adjustRightInd w:val="0"/>
              <w:snapToGrid w:val="0"/>
              <w:spacing w:after="240"/>
              <w:rPr>
                <w:color w:val="auto"/>
              </w:rPr>
            </w:pPr>
          </w:p>
        </w:tc>
        <w:tc>
          <w:tcPr>
            <w:tcW w:w="0" w:type="auto"/>
            <w:vMerge/>
            <w:hideMark/>
          </w:tcPr>
          <w:p w14:paraId="00C90331"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c>
          <w:tcPr>
            <w:tcW w:w="5813" w:type="dxa"/>
            <w:gridSpan w:val="3"/>
            <w:hideMark/>
          </w:tcPr>
          <w:p w14:paraId="3A8C1A69"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p w14:paraId="1303CF31" w14:textId="77777777" w:rsidR="00356CCD" w:rsidRPr="00356CCD" w:rsidRDefault="00356CCD" w:rsidP="001C1B67">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r>
      <w:tr w:rsidR="00356CCD" w:rsidRPr="00356CCD" w14:paraId="10FD370A" w14:textId="77777777" w:rsidTr="00F52FB4">
        <w:trPr>
          <w:trHeight w:val="355"/>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23145827" w14:textId="77777777" w:rsidR="00356CCD" w:rsidRDefault="00356CCD" w:rsidP="00356CCD">
            <w:pPr>
              <w:adjustRightInd w:val="0"/>
              <w:snapToGrid w:val="0"/>
              <w:spacing w:after="240"/>
              <w:rPr>
                <w:b w:val="0"/>
                <w:bCs w:val="0"/>
                <w:color w:val="auto"/>
                <w:lang w:val="en-US"/>
              </w:rPr>
            </w:pPr>
            <w:r w:rsidRPr="00356CCD">
              <w:rPr>
                <w:color w:val="auto"/>
                <w:lang w:val="en-US"/>
              </w:rPr>
              <w:t>Are patient inclusion and exclusion criteria for SD and ED surgical admission models identified and documented?</w:t>
            </w:r>
            <w:r w:rsidRPr="00356CCD">
              <w:rPr>
                <w:color w:val="auto"/>
              </w:rPr>
              <w:t> </w:t>
            </w:r>
          </w:p>
          <w:p w14:paraId="7B8D514F" w14:textId="77777777" w:rsidR="00493409" w:rsidRPr="00493409" w:rsidRDefault="00493409" w:rsidP="00493409"/>
          <w:p w14:paraId="5D537438" w14:textId="77777777" w:rsidR="00885ABC" w:rsidRDefault="00885ABC" w:rsidP="00493409">
            <w:pPr>
              <w:rPr>
                <w:b w:val="0"/>
                <w:bCs w:val="0"/>
              </w:rPr>
            </w:pPr>
          </w:p>
          <w:p w14:paraId="0DE8F68C" w14:textId="77777777" w:rsidR="009E6408" w:rsidRPr="00493409" w:rsidRDefault="009E6408" w:rsidP="00493409"/>
          <w:p w14:paraId="6A381EAC" w14:textId="77777777" w:rsidR="00493409" w:rsidRDefault="00493409" w:rsidP="00583481">
            <w:pPr>
              <w:rPr>
                <w:b w:val="0"/>
                <w:bCs w:val="0"/>
              </w:rPr>
            </w:pPr>
          </w:p>
          <w:p w14:paraId="1CDCF86C" w14:textId="77777777" w:rsidR="001336FD" w:rsidRPr="001336FD" w:rsidRDefault="001336FD" w:rsidP="001336FD"/>
        </w:tc>
        <w:tc>
          <w:tcPr>
            <w:tcW w:w="6214" w:type="dxa"/>
            <w:vMerge w:val="restart"/>
            <w:hideMark/>
          </w:tcPr>
          <w:p w14:paraId="6432F5FD" w14:textId="61980CC6"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Consider appropriate parameters for age, body mass index, American Society of Anesthesiologists physical status score, procedure complexity and potential comorbidities.</w:t>
            </w:r>
            <w:r w:rsidRPr="00356CCD">
              <w:rPr>
                <w:color w:val="auto"/>
              </w:rPr>
              <w:t> </w:t>
            </w:r>
          </w:p>
        </w:tc>
        <w:tc>
          <w:tcPr>
            <w:tcW w:w="1888" w:type="dxa"/>
            <w:hideMark/>
          </w:tcPr>
          <w:p w14:paraId="1213D1F1"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tcPr>
          <w:p w14:paraId="1D69B4AA"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tcPr>
          <w:p w14:paraId="7B449461"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0FAB6AB5" w14:textId="77777777" w:rsidTr="00356C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7" w:type="dxa"/>
            <w:vMerge/>
          </w:tcPr>
          <w:p w14:paraId="5D354064" w14:textId="77777777" w:rsidR="00356CCD" w:rsidRPr="00356CCD" w:rsidRDefault="00356CCD" w:rsidP="00356CCD">
            <w:pPr>
              <w:adjustRightInd w:val="0"/>
              <w:snapToGrid w:val="0"/>
              <w:spacing w:after="240"/>
              <w:rPr>
                <w:color w:val="auto"/>
                <w:lang w:val="en-US"/>
              </w:rPr>
            </w:pPr>
          </w:p>
        </w:tc>
        <w:tc>
          <w:tcPr>
            <w:tcW w:w="6214" w:type="dxa"/>
            <w:vMerge/>
          </w:tcPr>
          <w:p w14:paraId="5EF41A49"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lang w:val="en-US"/>
              </w:rPr>
            </w:pPr>
          </w:p>
        </w:tc>
        <w:tc>
          <w:tcPr>
            <w:tcW w:w="5813" w:type="dxa"/>
            <w:gridSpan w:val="3"/>
          </w:tcPr>
          <w:p w14:paraId="55A15A2E"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p w14:paraId="7D786AF0" w14:textId="77777777" w:rsidR="00377EC2" w:rsidRPr="00356CCD" w:rsidRDefault="00377EC2"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r>
      <w:tr w:rsidR="00356CCD" w:rsidRPr="00356CCD" w14:paraId="6B0238DC" w14:textId="77777777" w:rsidTr="00F52FB4">
        <w:trPr>
          <w:trHeight w:val="329"/>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5CBB2F35" w14:textId="77777777" w:rsidR="00356CCD" w:rsidRDefault="00356CCD" w:rsidP="00356CCD">
            <w:pPr>
              <w:adjustRightInd w:val="0"/>
              <w:snapToGrid w:val="0"/>
              <w:spacing w:after="240"/>
              <w:rPr>
                <w:b w:val="0"/>
                <w:bCs w:val="0"/>
                <w:color w:val="auto"/>
              </w:rPr>
            </w:pPr>
            <w:r w:rsidRPr="00356CCD">
              <w:rPr>
                <w:color w:val="auto"/>
                <w:lang w:val="en-US"/>
              </w:rPr>
              <w:lastRenderedPageBreak/>
              <w:t>Have designated beds for SD and ED patients been identified?</w:t>
            </w:r>
            <w:r w:rsidRPr="00356CCD">
              <w:rPr>
                <w:color w:val="auto"/>
              </w:rPr>
              <w:t> </w:t>
            </w:r>
          </w:p>
          <w:p w14:paraId="1AD54019" w14:textId="77777777" w:rsidR="00885ABC" w:rsidRDefault="00885ABC" w:rsidP="00356CCD">
            <w:pPr>
              <w:adjustRightInd w:val="0"/>
              <w:snapToGrid w:val="0"/>
              <w:spacing w:after="240"/>
              <w:rPr>
                <w:b w:val="0"/>
                <w:bCs w:val="0"/>
                <w:color w:val="auto"/>
              </w:rPr>
            </w:pPr>
          </w:p>
          <w:p w14:paraId="2551CB9F" w14:textId="77777777" w:rsidR="00885ABC" w:rsidRDefault="00885ABC" w:rsidP="00356CCD">
            <w:pPr>
              <w:adjustRightInd w:val="0"/>
              <w:snapToGrid w:val="0"/>
              <w:spacing w:after="240"/>
              <w:rPr>
                <w:color w:val="auto"/>
              </w:rPr>
            </w:pPr>
          </w:p>
          <w:p w14:paraId="0E2791F3" w14:textId="77777777" w:rsidR="008439A6" w:rsidRDefault="008439A6" w:rsidP="00356CCD">
            <w:pPr>
              <w:adjustRightInd w:val="0"/>
              <w:snapToGrid w:val="0"/>
              <w:spacing w:after="240"/>
              <w:rPr>
                <w:color w:val="auto"/>
              </w:rPr>
            </w:pPr>
          </w:p>
          <w:p w14:paraId="2A3951BF" w14:textId="77777777" w:rsidR="008439A6" w:rsidRDefault="008439A6" w:rsidP="00356CCD">
            <w:pPr>
              <w:adjustRightInd w:val="0"/>
              <w:snapToGrid w:val="0"/>
              <w:spacing w:after="240"/>
              <w:rPr>
                <w:b w:val="0"/>
                <w:bCs w:val="0"/>
                <w:color w:val="auto"/>
              </w:rPr>
            </w:pPr>
          </w:p>
          <w:p w14:paraId="3E295C6C" w14:textId="77777777" w:rsidR="00885ABC" w:rsidRPr="00356CCD" w:rsidRDefault="00885ABC" w:rsidP="00356CCD">
            <w:pPr>
              <w:adjustRightInd w:val="0"/>
              <w:snapToGrid w:val="0"/>
              <w:spacing w:after="240"/>
              <w:rPr>
                <w:color w:val="auto"/>
              </w:rPr>
            </w:pPr>
          </w:p>
        </w:tc>
        <w:tc>
          <w:tcPr>
            <w:tcW w:w="6214" w:type="dxa"/>
            <w:vMerge w:val="restart"/>
            <w:hideMark/>
          </w:tcPr>
          <w:p w14:paraId="53CB7DB0"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Commence SD and ED cases early in the day to allow adequate time for recovery and discharge on the same day, and sufficient time to prepare for more complex cases later in the list.</w:t>
            </w:r>
            <w:r w:rsidRPr="00356CCD">
              <w:rPr>
                <w:color w:val="auto"/>
              </w:rPr>
              <w:t> </w:t>
            </w:r>
          </w:p>
          <w:p w14:paraId="40A1BCB4"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Consider procedure-based lists or pooled lists for high-volume procedures to avoid equipment change overs.</w:t>
            </w:r>
            <w:r w:rsidRPr="00356CCD">
              <w:rPr>
                <w:color w:val="auto"/>
              </w:rPr>
              <w:t> </w:t>
            </w:r>
          </w:p>
          <w:p w14:paraId="17D11139"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Scope the number of SD lists each specialty requires.</w:t>
            </w:r>
            <w:r w:rsidRPr="00356CCD">
              <w:rPr>
                <w:color w:val="auto"/>
              </w:rPr>
              <w:t> </w:t>
            </w:r>
          </w:p>
        </w:tc>
        <w:tc>
          <w:tcPr>
            <w:tcW w:w="1888" w:type="dxa"/>
            <w:hideMark/>
          </w:tcPr>
          <w:p w14:paraId="4A8E644A"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hideMark/>
          </w:tcPr>
          <w:p w14:paraId="53AA47A5"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hideMark/>
          </w:tcPr>
          <w:p w14:paraId="468B59D6"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7DD6BE39" w14:textId="77777777" w:rsidTr="00356CCD">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0" w:type="auto"/>
            <w:vMerge/>
            <w:hideMark/>
          </w:tcPr>
          <w:p w14:paraId="4F4C531F" w14:textId="77777777" w:rsidR="00356CCD" w:rsidRPr="00356CCD" w:rsidRDefault="00356CCD" w:rsidP="00356CCD">
            <w:pPr>
              <w:adjustRightInd w:val="0"/>
              <w:snapToGrid w:val="0"/>
              <w:spacing w:after="240"/>
              <w:rPr>
                <w:color w:val="auto"/>
              </w:rPr>
            </w:pPr>
          </w:p>
        </w:tc>
        <w:tc>
          <w:tcPr>
            <w:tcW w:w="0" w:type="auto"/>
            <w:vMerge/>
            <w:hideMark/>
          </w:tcPr>
          <w:p w14:paraId="3E1DA833"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c>
          <w:tcPr>
            <w:tcW w:w="5813" w:type="dxa"/>
            <w:gridSpan w:val="3"/>
            <w:hideMark/>
          </w:tcPr>
          <w:p w14:paraId="592ACA01" w14:textId="77777777" w:rsid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p w14:paraId="12CA8180" w14:textId="77777777" w:rsidR="00DA1767" w:rsidRPr="00356CCD" w:rsidRDefault="00DA1767" w:rsidP="00885ABC">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r>
      <w:tr w:rsidR="00356CCD" w:rsidRPr="00356CCD" w14:paraId="09E03CB0" w14:textId="77777777" w:rsidTr="00F52FB4">
        <w:trPr>
          <w:trHeight w:val="329"/>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08DE3671" w14:textId="77777777" w:rsidR="00356CCD" w:rsidRDefault="00356CCD" w:rsidP="00356CCD">
            <w:pPr>
              <w:adjustRightInd w:val="0"/>
              <w:snapToGrid w:val="0"/>
              <w:spacing w:after="240"/>
              <w:rPr>
                <w:b w:val="0"/>
                <w:bCs w:val="0"/>
                <w:color w:val="auto"/>
              </w:rPr>
            </w:pPr>
            <w:r w:rsidRPr="00356CCD">
              <w:rPr>
                <w:color w:val="auto"/>
                <w:lang w:val="en-US"/>
              </w:rPr>
              <w:t>Are processes in place to ensure clinical screening of patients and triage for pre-admission assessments?</w:t>
            </w:r>
            <w:r w:rsidRPr="00356CCD">
              <w:rPr>
                <w:color w:val="auto"/>
              </w:rPr>
              <w:t> </w:t>
            </w:r>
          </w:p>
          <w:p w14:paraId="29D9E61F" w14:textId="77777777" w:rsidR="00885ABC" w:rsidRDefault="00885ABC" w:rsidP="00356CCD">
            <w:pPr>
              <w:adjustRightInd w:val="0"/>
              <w:snapToGrid w:val="0"/>
              <w:spacing w:after="240"/>
              <w:rPr>
                <w:color w:val="auto"/>
              </w:rPr>
            </w:pPr>
          </w:p>
          <w:p w14:paraId="695AD4CB" w14:textId="77777777" w:rsidR="009E6408" w:rsidRDefault="009E6408" w:rsidP="00356CCD">
            <w:pPr>
              <w:adjustRightInd w:val="0"/>
              <w:snapToGrid w:val="0"/>
              <w:spacing w:after="240"/>
              <w:rPr>
                <w:b w:val="0"/>
                <w:bCs w:val="0"/>
                <w:color w:val="auto"/>
              </w:rPr>
            </w:pPr>
          </w:p>
          <w:p w14:paraId="5B57F094" w14:textId="77777777" w:rsidR="00885ABC" w:rsidRDefault="00885ABC" w:rsidP="00356CCD">
            <w:pPr>
              <w:adjustRightInd w:val="0"/>
              <w:snapToGrid w:val="0"/>
              <w:spacing w:after="240"/>
              <w:rPr>
                <w:color w:val="auto"/>
              </w:rPr>
            </w:pPr>
          </w:p>
          <w:p w14:paraId="469E549B" w14:textId="77777777" w:rsidR="008439A6" w:rsidRDefault="008439A6" w:rsidP="00356CCD">
            <w:pPr>
              <w:adjustRightInd w:val="0"/>
              <w:snapToGrid w:val="0"/>
              <w:spacing w:after="240"/>
              <w:rPr>
                <w:b w:val="0"/>
                <w:bCs w:val="0"/>
                <w:color w:val="auto"/>
              </w:rPr>
            </w:pPr>
          </w:p>
          <w:p w14:paraId="324C8FC9" w14:textId="77777777" w:rsidR="00885ABC" w:rsidRPr="00356CCD" w:rsidRDefault="00885ABC" w:rsidP="00356CCD">
            <w:pPr>
              <w:adjustRightInd w:val="0"/>
              <w:snapToGrid w:val="0"/>
              <w:spacing w:after="240"/>
              <w:rPr>
                <w:color w:val="auto"/>
              </w:rPr>
            </w:pPr>
          </w:p>
        </w:tc>
        <w:tc>
          <w:tcPr>
            <w:tcW w:w="6214" w:type="dxa"/>
            <w:vMerge w:val="restart"/>
            <w:hideMark/>
          </w:tcPr>
          <w:p w14:paraId="0FA52475" w14:textId="14CC16FA"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 xml:space="preserve">Pre-operative review and screening for SD surgery patients sets expectations of care for both the patient and the care team. It also allows assessment of the patient’s willingness to undergo a SD and ED procedure and the support mechanisms available at home after discharge. </w:t>
            </w:r>
            <w:r w:rsidRPr="00356CCD">
              <w:rPr>
                <w:color w:val="auto"/>
              </w:rPr>
              <w:t> </w:t>
            </w:r>
          </w:p>
        </w:tc>
        <w:tc>
          <w:tcPr>
            <w:tcW w:w="1888" w:type="dxa"/>
            <w:hideMark/>
          </w:tcPr>
          <w:p w14:paraId="4D74651C"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hideMark/>
          </w:tcPr>
          <w:p w14:paraId="0557BD64"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hideMark/>
          </w:tcPr>
          <w:p w14:paraId="12094D1E"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6718D0FC" w14:textId="77777777" w:rsidTr="00356CCD">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0" w:type="auto"/>
            <w:vMerge/>
            <w:hideMark/>
          </w:tcPr>
          <w:p w14:paraId="7A84D5AB" w14:textId="77777777" w:rsidR="00356CCD" w:rsidRPr="00356CCD" w:rsidRDefault="00356CCD" w:rsidP="00356CCD">
            <w:pPr>
              <w:adjustRightInd w:val="0"/>
              <w:snapToGrid w:val="0"/>
              <w:spacing w:after="240"/>
              <w:rPr>
                <w:color w:val="auto"/>
              </w:rPr>
            </w:pPr>
          </w:p>
        </w:tc>
        <w:tc>
          <w:tcPr>
            <w:tcW w:w="0" w:type="auto"/>
            <w:vMerge/>
            <w:hideMark/>
          </w:tcPr>
          <w:p w14:paraId="550607FE"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c>
          <w:tcPr>
            <w:tcW w:w="5813" w:type="dxa"/>
            <w:gridSpan w:val="3"/>
            <w:hideMark/>
          </w:tcPr>
          <w:p w14:paraId="636D7350"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p w14:paraId="21DE4564" w14:textId="77777777" w:rsidR="00356CCD" w:rsidRPr="00356CCD" w:rsidRDefault="00356CCD" w:rsidP="00885ABC">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r>
      <w:tr w:rsidR="00356CCD" w:rsidRPr="00356CCD" w14:paraId="066D5DBB" w14:textId="77777777" w:rsidTr="00F52FB4">
        <w:trPr>
          <w:trHeight w:val="329"/>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06AA0625" w14:textId="77777777" w:rsidR="008439A6" w:rsidRDefault="00356CCD" w:rsidP="00356CCD">
            <w:pPr>
              <w:adjustRightInd w:val="0"/>
              <w:snapToGrid w:val="0"/>
              <w:spacing w:after="240"/>
              <w:rPr>
                <w:b w:val="0"/>
                <w:bCs w:val="0"/>
                <w:color w:val="auto"/>
                <w:lang w:val="en-US"/>
              </w:rPr>
            </w:pPr>
            <w:r w:rsidRPr="00356CCD">
              <w:rPr>
                <w:color w:val="auto"/>
                <w:lang w:val="en-US"/>
              </w:rPr>
              <w:t>Are patient admission times staggered to align with scheduled surgery times?</w:t>
            </w:r>
          </w:p>
          <w:p w14:paraId="622AC274" w14:textId="77777777" w:rsidR="008439A6" w:rsidRDefault="008439A6" w:rsidP="00356CCD">
            <w:pPr>
              <w:adjustRightInd w:val="0"/>
              <w:snapToGrid w:val="0"/>
              <w:spacing w:after="240"/>
              <w:rPr>
                <w:color w:val="auto"/>
              </w:rPr>
            </w:pPr>
          </w:p>
          <w:p w14:paraId="561A88B9" w14:textId="77777777" w:rsidR="008439A6" w:rsidRDefault="008439A6" w:rsidP="00356CCD">
            <w:pPr>
              <w:adjustRightInd w:val="0"/>
              <w:snapToGrid w:val="0"/>
              <w:spacing w:after="240"/>
              <w:rPr>
                <w:color w:val="auto"/>
              </w:rPr>
            </w:pPr>
          </w:p>
          <w:p w14:paraId="5A244332" w14:textId="77777777" w:rsidR="009E6408" w:rsidRDefault="009E6408" w:rsidP="00356CCD">
            <w:pPr>
              <w:adjustRightInd w:val="0"/>
              <w:snapToGrid w:val="0"/>
              <w:spacing w:after="240"/>
              <w:rPr>
                <w:b w:val="0"/>
                <w:bCs w:val="0"/>
                <w:color w:val="auto"/>
              </w:rPr>
            </w:pPr>
          </w:p>
          <w:p w14:paraId="5990383E" w14:textId="77777777" w:rsidR="008439A6" w:rsidRDefault="008439A6" w:rsidP="00356CCD">
            <w:pPr>
              <w:adjustRightInd w:val="0"/>
              <w:snapToGrid w:val="0"/>
              <w:spacing w:after="240"/>
              <w:rPr>
                <w:b w:val="0"/>
                <w:bCs w:val="0"/>
                <w:color w:val="auto"/>
              </w:rPr>
            </w:pPr>
          </w:p>
          <w:p w14:paraId="3E165493" w14:textId="1D72D634" w:rsidR="00356CCD" w:rsidRPr="00885ABC" w:rsidRDefault="00356CCD" w:rsidP="00356CCD">
            <w:pPr>
              <w:adjustRightInd w:val="0"/>
              <w:snapToGrid w:val="0"/>
              <w:spacing w:after="240"/>
              <w:rPr>
                <w:b w:val="0"/>
                <w:bCs w:val="0"/>
                <w:color w:val="auto"/>
                <w:lang w:val="en-US"/>
              </w:rPr>
            </w:pPr>
            <w:r w:rsidRPr="00356CCD">
              <w:rPr>
                <w:color w:val="auto"/>
              </w:rPr>
              <w:t> </w:t>
            </w:r>
          </w:p>
        </w:tc>
        <w:tc>
          <w:tcPr>
            <w:tcW w:w="6214" w:type="dxa"/>
            <w:vMerge w:val="restart"/>
            <w:hideMark/>
          </w:tcPr>
          <w:p w14:paraId="79B75CFF" w14:textId="749A2C90"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 xml:space="preserve">Facilitates more efficient patient flow and </w:t>
            </w:r>
            <w:r w:rsidRPr="00356CCD">
              <w:rPr>
                <w:color w:val="auto"/>
              </w:rPr>
              <w:t>minimises</w:t>
            </w:r>
            <w:r w:rsidRPr="00356CCD">
              <w:rPr>
                <w:color w:val="auto"/>
                <w:lang w:val="en-US"/>
              </w:rPr>
              <w:t xml:space="preserve"> patient waiting and fasting times. </w:t>
            </w:r>
            <w:r w:rsidRPr="00356CCD">
              <w:rPr>
                <w:color w:val="auto"/>
              </w:rPr>
              <w:t> </w:t>
            </w:r>
          </w:p>
        </w:tc>
        <w:tc>
          <w:tcPr>
            <w:tcW w:w="1888" w:type="dxa"/>
            <w:hideMark/>
          </w:tcPr>
          <w:p w14:paraId="0A779B6D"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hideMark/>
          </w:tcPr>
          <w:p w14:paraId="29925095"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hideMark/>
          </w:tcPr>
          <w:p w14:paraId="6D2A2F81"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6A2B5E6F" w14:textId="77777777" w:rsidTr="00356CCD">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0" w:type="auto"/>
            <w:vMerge/>
            <w:hideMark/>
          </w:tcPr>
          <w:p w14:paraId="2CB177C5" w14:textId="77777777" w:rsidR="00356CCD" w:rsidRPr="00356CCD" w:rsidRDefault="00356CCD" w:rsidP="00356CCD">
            <w:pPr>
              <w:adjustRightInd w:val="0"/>
              <w:snapToGrid w:val="0"/>
              <w:spacing w:after="240"/>
              <w:rPr>
                <w:color w:val="auto"/>
              </w:rPr>
            </w:pPr>
          </w:p>
        </w:tc>
        <w:tc>
          <w:tcPr>
            <w:tcW w:w="0" w:type="auto"/>
            <w:vMerge/>
            <w:hideMark/>
          </w:tcPr>
          <w:p w14:paraId="2F4C9A2F"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c>
          <w:tcPr>
            <w:tcW w:w="5813" w:type="dxa"/>
            <w:gridSpan w:val="3"/>
            <w:hideMark/>
          </w:tcPr>
          <w:p w14:paraId="28C3B9D8"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p w14:paraId="3D1BAF93" w14:textId="77777777" w:rsidR="00356CCD" w:rsidRPr="00356CCD" w:rsidRDefault="00356CCD" w:rsidP="00885ABC">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r>
      <w:tr w:rsidR="00356CCD" w:rsidRPr="00356CCD" w14:paraId="3C23555B" w14:textId="77777777" w:rsidTr="00F52FB4">
        <w:trPr>
          <w:trHeight w:val="329"/>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1774343F" w14:textId="02D0C336" w:rsidR="008439A6" w:rsidRDefault="00356CCD" w:rsidP="00356CCD">
            <w:pPr>
              <w:adjustRightInd w:val="0"/>
              <w:snapToGrid w:val="0"/>
              <w:spacing w:after="240"/>
              <w:rPr>
                <w:b w:val="0"/>
                <w:bCs w:val="0"/>
                <w:color w:val="auto"/>
              </w:rPr>
            </w:pPr>
            <w:r w:rsidRPr="00356CCD">
              <w:rPr>
                <w:color w:val="auto"/>
                <w:lang w:val="en-US"/>
              </w:rPr>
              <w:lastRenderedPageBreak/>
              <w:t xml:space="preserve">Have clinical protocols been developed for use by clinicians for high volume procedures (including discharge criteria, </w:t>
            </w:r>
            <w:proofErr w:type="gramStart"/>
            <w:r w:rsidRPr="00356CCD">
              <w:rPr>
                <w:color w:val="auto"/>
                <w:lang w:val="en-US"/>
              </w:rPr>
              <w:t>responsibilities</w:t>
            </w:r>
            <w:proofErr w:type="gramEnd"/>
            <w:r w:rsidRPr="00356CCD">
              <w:rPr>
                <w:color w:val="auto"/>
                <w:lang w:val="en-US"/>
              </w:rPr>
              <w:t xml:space="preserve"> and processes)?</w:t>
            </w:r>
            <w:r w:rsidRPr="00356CCD">
              <w:rPr>
                <w:color w:val="auto"/>
              </w:rPr>
              <w:t> </w:t>
            </w:r>
          </w:p>
          <w:p w14:paraId="1CD2C5D5" w14:textId="77777777" w:rsidR="008439A6" w:rsidRPr="00356CCD" w:rsidRDefault="008439A6" w:rsidP="00356CCD">
            <w:pPr>
              <w:adjustRightInd w:val="0"/>
              <w:snapToGrid w:val="0"/>
              <w:spacing w:after="240"/>
              <w:rPr>
                <w:color w:val="auto"/>
              </w:rPr>
            </w:pPr>
          </w:p>
        </w:tc>
        <w:tc>
          <w:tcPr>
            <w:tcW w:w="6214" w:type="dxa"/>
            <w:vMerge w:val="restart"/>
            <w:hideMark/>
          </w:tcPr>
          <w:p w14:paraId="5CFC395E"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Documented protocols support consistency in practice, enhance understanding of the expected patient journey and make sure all team members understand what is required to facilitate safe, appropriate SD or ED discharge.</w:t>
            </w:r>
            <w:r w:rsidRPr="00356CCD">
              <w:rPr>
                <w:color w:val="auto"/>
              </w:rPr>
              <w:t> </w:t>
            </w:r>
          </w:p>
        </w:tc>
        <w:tc>
          <w:tcPr>
            <w:tcW w:w="1888" w:type="dxa"/>
            <w:hideMark/>
          </w:tcPr>
          <w:p w14:paraId="5331C5CE"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hideMark/>
          </w:tcPr>
          <w:p w14:paraId="377E56F0"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hideMark/>
          </w:tcPr>
          <w:p w14:paraId="04DA0CA2"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71DDADC5" w14:textId="77777777" w:rsidTr="00356C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0" w:type="auto"/>
            <w:vMerge/>
            <w:hideMark/>
          </w:tcPr>
          <w:p w14:paraId="328E47DF" w14:textId="77777777" w:rsidR="00356CCD" w:rsidRPr="00356CCD" w:rsidRDefault="00356CCD" w:rsidP="00356CCD">
            <w:pPr>
              <w:adjustRightInd w:val="0"/>
              <w:snapToGrid w:val="0"/>
              <w:spacing w:after="240"/>
              <w:rPr>
                <w:color w:val="auto"/>
              </w:rPr>
            </w:pPr>
          </w:p>
        </w:tc>
        <w:tc>
          <w:tcPr>
            <w:tcW w:w="0" w:type="auto"/>
            <w:vMerge/>
            <w:hideMark/>
          </w:tcPr>
          <w:p w14:paraId="1767F840"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c>
          <w:tcPr>
            <w:tcW w:w="5813" w:type="dxa"/>
            <w:gridSpan w:val="3"/>
            <w:hideMark/>
          </w:tcPr>
          <w:p w14:paraId="0AAB789C"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p w14:paraId="7EB1462A" w14:textId="61106990" w:rsidR="0015109A" w:rsidRPr="00356CCD" w:rsidRDefault="0015109A"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r>
      <w:tr w:rsidR="00356CCD" w:rsidRPr="00356CCD" w14:paraId="39C99B65" w14:textId="77777777" w:rsidTr="00F52FB4">
        <w:trPr>
          <w:trHeight w:val="329"/>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606049CA" w14:textId="77777777" w:rsidR="00356CCD" w:rsidRPr="00356CCD" w:rsidRDefault="00356CCD" w:rsidP="00356CCD">
            <w:pPr>
              <w:adjustRightInd w:val="0"/>
              <w:snapToGrid w:val="0"/>
              <w:spacing w:after="240"/>
              <w:rPr>
                <w:color w:val="auto"/>
              </w:rPr>
            </w:pPr>
            <w:r w:rsidRPr="00356CCD">
              <w:rPr>
                <w:color w:val="auto"/>
                <w:lang w:val="en-US"/>
              </w:rPr>
              <w:t>Do protocols align with Post- Acute Care Service and Hospital in the Home services protocols?</w:t>
            </w:r>
            <w:r w:rsidRPr="00356CCD">
              <w:rPr>
                <w:color w:val="auto"/>
              </w:rPr>
              <w:t> </w:t>
            </w:r>
          </w:p>
        </w:tc>
        <w:tc>
          <w:tcPr>
            <w:tcW w:w="6214" w:type="dxa"/>
            <w:vMerge w:val="restart"/>
            <w:hideMark/>
          </w:tcPr>
          <w:p w14:paraId="68FBA186"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Patient information and education includes:</w:t>
            </w:r>
            <w:r w:rsidRPr="00356CCD">
              <w:rPr>
                <w:color w:val="auto"/>
              </w:rPr>
              <w:t> </w:t>
            </w:r>
          </w:p>
          <w:p w14:paraId="1870750A" w14:textId="0F502084" w:rsidR="00356CCD" w:rsidRPr="00E65680" w:rsidRDefault="00356CCD" w:rsidP="00E65680">
            <w:pPr>
              <w:numPr>
                <w:ilvl w:val="0"/>
                <w:numId w:val="13"/>
              </w:numPr>
              <w:adjustRightInd w:val="0"/>
              <w:snapToGrid w:val="0"/>
              <w:spacing w:after="240"/>
              <w:cnfStyle w:val="000000000000" w:firstRow="0" w:lastRow="0" w:firstColumn="0" w:lastColumn="0" w:oddVBand="0" w:evenVBand="0" w:oddHBand="0" w:evenHBand="0" w:firstRowFirstColumn="0" w:firstRowLastColumn="0" w:lastRowFirstColumn="0" w:lastRowLastColumn="0"/>
              <w:rPr>
                <w:rFonts w:eastAsia="Arial"/>
                <w:color w:val="auto"/>
              </w:rPr>
            </w:pPr>
            <w:r w:rsidRPr="00E65680">
              <w:rPr>
                <w:rFonts w:eastAsia="Arial"/>
                <w:color w:val="auto"/>
                <w:lang w:val="en-US"/>
              </w:rPr>
              <w:t>pre-operative care needs</w:t>
            </w:r>
            <w:r w:rsidRPr="00356CCD">
              <w:rPr>
                <w:rFonts w:eastAsia="Arial"/>
                <w:color w:val="auto"/>
                <w:lang w:val="en-US"/>
              </w:rPr>
              <w:t>, e.g.</w:t>
            </w:r>
            <w:r w:rsidRPr="00E65680">
              <w:rPr>
                <w:rFonts w:eastAsia="Arial"/>
                <w:color w:val="auto"/>
                <w:lang w:val="en-US"/>
              </w:rPr>
              <w:t xml:space="preserve"> pathology, medical imaging, medication, </w:t>
            </w:r>
            <w:proofErr w:type="gramStart"/>
            <w:r w:rsidRPr="00E65680">
              <w:rPr>
                <w:rFonts w:eastAsia="Arial"/>
                <w:color w:val="auto"/>
                <w:lang w:val="en-US"/>
              </w:rPr>
              <w:t>fasting</w:t>
            </w:r>
            <w:proofErr w:type="gramEnd"/>
          </w:p>
          <w:p w14:paraId="2D46AE91" w14:textId="732E26D9" w:rsidR="00356CCD" w:rsidRPr="00E65680" w:rsidRDefault="00356CCD" w:rsidP="00E65680">
            <w:pPr>
              <w:numPr>
                <w:ilvl w:val="0"/>
                <w:numId w:val="13"/>
              </w:numPr>
              <w:adjustRightInd w:val="0"/>
              <w:snapToGrid w:val="0"/>
              <w:spacing w:after="240"/>
              <w:cnfStyle w:val="000000000000" w:firstRow="0" w:lastRow="0" w:firstColumn="0" w:lastColumn="0" w:oddVBand="0" w:evenVBand="0" w:oddHBand="0" w:evenHBand="0" w:firstRowFirstColumn="0" w:firstRowLastColumn="0" w:lastRowFirstColumn="0" w:lastRowLastColumn="0"/>
              <w:rPr>
                <w:rFonts w:eastAsia="Arial"/>
                <w:color w:val="auto"/>
              </w:rPr>
            </w:pPr>
            <w:r w:rsidRPr="00E65680">
              <w:rPr>
                <w:rFonts w:eastAsia="Arial"/>
                <w:color w:val="auto"/>
                <w:lang w:val="en-US"/>
              </w:rPr>
              <w:t xml:space="preserve">the importance of following medication plans for pain management, wound care, diet and </w:t>
            </w:r>
            <w:proofErr w:type="spellStart"/>
            <w:r w:rsidRPr="00356CCD">
              <w:rPr>
                <w:rFonts w:eastAsia="Arial"/>
                <w:color w:val="auto"/>
                <w:lang w:val="en-US"/>
              </w:rPr>
              <w:t>mobili</w:t>
            </w:r>
            <w:r w:rsidR="007F2930">
              <w:rPr>
                <w:rFonts w:eastAsia="Arial"/>
                <w:color w:val="auto"/>
                <w:lang w:val="en-US"/>
              </w:rPr>
              <w:t>s</w:t>
            </w:r>
            <w:r w:rsidRPr="00356CCD">
              <w:rPr>
                <w:rFonts w:eastAsia="Arial"/>
                <w:color w:val="auto"/>
                <w:lang w:val="en-US"/>
              </w:rPr>
              <w:t>ation</w:t>
            </w:r>
            <w:proofErr w:type="spellEnd"/>
            <w:r w:rsidRPr="00356CCD">
              <w:rPr>
                <w:rFonts w:eastAsia="Arial"/>
                <w:color w:val="auto"/>
                <w:lang w:val="en-US"/>
              </w:rPr>
              <w:t>,</w:t>
            </w:r>
            <w:r w:rsidRPr="00E65680">
              <w:rPr>
                <w:rFonts w:eastAsia="Arial"/>
                <w:color w:val="auto"/>
                <w:lang w:val="en-US"/>
              </w:rPr>
              <w:t xml:space="preserve"> and contact details for advice should they have any concerns following </w:t>
            </w:r>
            <w:proofErr w:type="gramStart"/>
            <w:r w:rsidRPr="00E65680">
              <w:rPr>
                <w:rFonts w:eastAsia="Arial"/>
                <w:color w:val="auto"/>
                <w:lang w:val="en-US"/>
              </w:rPr>
              <w:t>discharge</w:t>
            </w:r>
            <w:proofErr w:type="gramEnd"/>
          </w:p>
          <w:p w14:paraId="0BA3B16B" w14:textId="77777777" w:rsidR="00356CCD" w:rsidRPr="00E65680" w:rsidRDefault="00356CCD" w:rsidP="00E65680">
            <w:pPr>
              <w:numPr>
                <w:ilvl w:val="0"/>
                <w:numId w:val="13"/>
              </w:numPr>
              <w:adjustRightInd w:val="0"/>
              <w:snapToGrid w:val="0"/>
              <w:spacing w:after="240"/>
              <w:cnfStyle w:val="000000000000" w:firstRow="0" w:lastRow="0" w:firstColumn="0" w:lastColumn="0" w:oddVBand="0" w:evenVBand="0" w:oddHBand="0" w:evenHBand="0" w:firstRowFirstColumn="0" w:firstRowLastColumn="0" w:lastRowFirstColumn="0" w:lastRowLastColumn="0"/>
              <w:rPr>
                <w:rFonts w:eastAsia="Arial"/>
                <w:color w:val="auto"/>
              </w:rPr>
            </w:pPr>
            <w:r w:rsidRPr="00E65680">
              <w:rPr>
                <w:rFonts w:eastAsia="Arial"/>
                <w:color w:val="auto"/>
                <w:lang w:val="en-US"/>
              </w:rPr>
              <w:t>consistent message from all healthcare professionals on SD surgery at each stage of the pathway.</w:t>
            </w:r>
            <w:r w:rsidRPr="00E65680">
              <w:rPr>
                <w:rFonts w:eastAsia="Arial"/>
                <w:color w:val="auto"/>
              </w:rPr>
              <w:t> </w:t>
            </w:r>
          </w:p>
          <w:p w14:paraId="21DA06F4" w14:textId="033ADD18"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Implement criteria-led discharge protocols that state the criteria to ensure safe discharge</w:t>
            </w:r>
            <w:r w:rsidR="007F2930">
              <w:rPr>
                <w:color w:val="auto"/>
                <w:lang w:val="en-US"/>
              </w:rPr>
              <w:t xml:space="preserve"> and communicate these across the entire patient care </w:t>
            </w:r>
            <w:proofErr w:type="gramStart"/>
            <w:r w:rsidR="007F2930">
              <w:rPr>
                <w:color w:val="auto"/>
                <w:lang w:val="en-US"/>
              </w:rPr>
              <w:t>team.</w:t>
            </w:r>
            <w:r w:rsidRPr="00356CCD">
              <w:rPr>
                <w:color w:val="auto"/>
                <w:lang w:val="en-US"/>
              </w:rPr>
              <w:t>.</w:t>
            </w:r>
            <w:proofErr w:type="gramEnd"/>
            <w:r w:rsidRPr="00356CCD">
              <w:rPr>
                <w:color w:val="auto"/>
              </w:rPr>
              <w:t> </w:t>
            </w:r>
          </w:p>
          <w:p w14:paraId="44497124"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Agree protocol for admission to a hospital bed for patients deemed unsafe for discharge.</w:t>
            </w:r>
            <w:r w:rsidRPr="00356CCD">
              <w:rPr>
                <w:color w:val="auto"/>
              </w:rPr>
              <w:t> </w:t>
            </w:r>
          </w:p>
        </w:tc>
        <w:tc>
          <w:tcPr>
            <w:tcW w:w="1888" w:type="dxa"/>
            <w:hideMark/>
          </w:tcPr>
          <w:p w14:paraId="50865C40"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hideMark/>
          </w:tcPr>
          <w:p w14:paraId="4D8DEBD9"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hideMark/>
          </w:tcPr>
          <w:p w14:paraId="589DD38D"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6A3B2DFE" w14:textId="77777777" w:rsidTr="00356CCD">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0" w:type="auto"/>
            <w:vMerge/>
            <w:hideMark/>
          </w:tcPr>
          <w:p w14:paraId="065B3D00" w14:textId="77777777" w:rsidR="00356CCD" w:rsidRPr="00356CCD" w:rsidRDefault="00356CCD" w:rsidP="00356CCD">
            <w:pPr>
              <w:adjustRightInd w:val="0"/>
              <w:snapToGrid w:val="0"/>
              <w:spacing w:after="240"/>
              <w:rPr>
                <w:color w:val="auto"/>
              </w:rPr>
            </w:pPr>
          </w:p>
        </w:tc>
        <w:tc>
          <w:tcPr>
            <w:tcW w:w="0" w:type="auto"/>
            <w:vMerge/>
            <w:hideMark/>
          </w:tcPr>
          <w:p w14:paraId="753FCB2A"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c>
          <w:tcPr>
            <w:tcW w:w="5813" w:type="dxa"/>
            <w:gridSpan w:val="3"/>
            <w:hideMark/>
          </w:tcPr>
          <w:p w14:paraId="2B6203DE"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tc>
      </w:tr>
      <w:tr w:rsidR="00356CCD" w:rsidRPr="00356CCD" w14:paraId="7C331235" w14:textId="77777777" w:rsidTr="00F52FB4">
        <w:trPr>
          <w:trHeight w:val="329"/>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53A698B1" w14:textId="77777777" w:rsidR="00356CCD" w:rsidRDefault="00356CCD" w:rsidP="00356CCD">
            <w:pPr>
              <w:adjustRightInd w:val="0"/>
              <w:snapToGrid w:val="0"/>
              <w:spacing w:after="240"/>
              <w:rPr>
                <w:b w:val="0"/>
                <w:bCs w:val="0"/>
                <w:color w:val="auto"/>
              </w:rPr>
            </w:pPr>
            <w:r w:rsidRPr="00356CCD">
              <w:rPr>
                <w:color w:val="auto"/>
                <w:lang w:val="en-US"/>
              </w:rPr>
              <w:t xml:space="preserve">Are escalation pathways agreed, </w:t>
            </w:r>
            <w:proofErr w:type="gramStart"/>
            <w:r w:rsidRPr="00356CCD">
              <w:rPr>
                <w:color w:val="auto"/>
                <w:lang w:val="en-US"/>
              </w:rPr>
              <w:t>documented</w:t>
            </w:r>
            <w:proofErr w:type="gramEnd"/>
            <w:r w:rsidRPr="00356CCD">
              <w:rPr>
                <w:color w:val="auto"/>
                <w:lang w:val="en-US"/>
              </w:rPr>
              <w:t xml:space="preserve"> and communicated?</w:t>
            </w:r>
            <w:r w:rsidRPr="00356CCD">
              <w:rPr>
                <w:color w:val="auto"/>
              </w:rPr>
              <w:t> </w:t>
            </w:r>
          </w:p>
          <w:p w14:paraId="6F5604ED" w14:textId="77777777" w:rsidR="008439A6" w:rsidRDefault="008439A6" w:rsidP="00356CCD">
            <w:pPr>
              <w:adjustRightInd w:val="0"/>
              <w:snapToGrid w:val="0"/>
              <w:spacing w:after="240"/>
              <w:rPr>
                <w:color w:val="auto"/>
              </w:rPr>
            </w:pPr>
          </w:p>
          <w:p w14:paraId="01A9B16F" w14:textId="77777777" w:rsidR="009E6408" w:rsidRDefault="009E6408" w:rsidP="00356CCD">
            <w:pPr>
              <w:adjustRightInd w:val="0"/>
              <w:snapToGrid w:val="0"/>
              <w:spacing w:after="240"/>
              <w:rPr>
                <w:color w:val="auto"/>
              </w:rPr>
            </w:pPr>
          </w:p>
          <w:p w14:paraId="72BC76C4" w14:textId="77777777" w:rsidR="009E6408" w:rsidRDefault="009E6408" w:rsidP="00356CCD">
            <w:pPr>
              <w:adjustRightInd w:val="0"/>
              <w:snapToGrid w:val="0"/>
              <w:spacing w:after="240"/>
              <w:rPr>
                <w:b w:val="0"/>
                <w:bCs w:val="0"/>
                <w:color w:val="auto"/>
              </w:rPr>
            </w:pPr>
          </w:p>
          <w:p w14:paraId="1768ACBD" w14:textId="77777777" w:rsidR="008439A6" w:rsidRDefault="008439A6" w:rsidP="00356CCD">
            <w:pPr>
              <w:adjustRightInd w:val="0"/>
              <w:snapToGrid w:val="0"/>
              <w:spacing w:after="240"/>
              <w:rPr>
                <w:b w:val="0"/>
                <w:bCs w:val="0"/>
                <w:color w:val="auto"/>
              </w:rPr>
            </w:pPr>
          </w:p>
          <w:p w14:paraId="7B605B03" w14:textId="77777777" w:rsidR="008439A6" w:rsidRPr="00356CCD" w:rsidRDefault="008439A6" w:rsidP="00356CCD">
            <w:pPr>
              <w:adjustRightInd w:val="0"/>
              <w:snapToGrid w:val="0"/>
              <w:spacing w:after="240"/>
              <w:rPr>
                <w:color w:val="auto"/>
              </w:rPr>
            </w:pPr>
          </w:p>
        </w:tc>
        <w:tc>
          <w:tcPr>
            <w:tcW w:w="6214" w:type="dxa"/>
            <w:vMerge w:val="restart"/>
            <w:hideMark/>
          </w:tcPr>
          <w:p w14:paraId="3A9077F4" w14:textId="54697A4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 xml:space="preserve">Escalation pathways should clearly outline the steps to be taken, resolve disagreement around SD and ED model protocols, </w:t>
            </w:r>
            <w:proofErr w:type="gramStart"/>
            <w:r w:rsidRPr="00356CCD">
              <w:rPr>
                <w:color w:val="auto"/>
                <w:lang w:val="en-US"/>
              </w:rPr>
              <w:t>cases</w:t>
            </w:r>
            <w:proofErr w:type="gramEnd"/>
            <w:r w:rsidRPr="00356CCD">
              <w:rPr>
                <w:color w:val="auto"/>
                <w:lang w:val="en-US"/>
              </w:rPr>
              <w:t xml:space="preserve"> and alternative care pathways. </w:t>
            </w:r>
            <w:r w:rsidRPr="00356CCD">
              <w:rPr>
                <w:color w:val="auto"/>
              </w:rPr>
              <w:t> </w:t>
            </w:r>
          </w:p>
        </w:tc>
        <w:tc>
          <w:tcPr>
            <w:tcW w:w="1888" w:type="dxa"/>
            <w:hideMark/>
          </w:tcPr>
          <w:p w14:paraId="53569AD7"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hideMark/>
          </w:tcPr>
          <w:p w14:paraId="3C7F03B8"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hideMark/>
          </w:tcPr>
          <w:p w14:paraId="6FBE8CF9"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2EC78DF3" w14:textId="77777777" w:rsidTr="00356CCD">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auto"/>
            <w:vMerge/>
            <w:hideMark/>
          </w:tcPr>
          <w:p w14:paraId="4E4E6EDE" w14:textId="77777777" w:rsidR="00356CCD" w:rsidRPr="00356CCD" w:rsidRDefault="00356CCD" w:rsidP="00356CCD">
            <w:pPr>
              <w:adjustRightInd w:val="0"/>
              <w:snapToGrid w:val="0"/>
              <w:spacing w:after="240"/>
              <w:rPr>
                <w:color w:val="auto"/>
              </w:rPr>
            </w:pPr>
          </w:p>
        </w:tc>
        <w:tc>
          <w:tcPr>
            <w:tcW w:w="0" w:type="auto"/>
            <w:vMerge/>
            <w:hideMark/>
          </w:tcPr>
          <w:p w14:paraId="32001EFB"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c>
          <w:tcPr>
            <w:tcW w:w="5813" w:type="dxa"/>
            <w:gridSpan w:val="3"/>
            <w:hideMark/>
          </w:tcPr>
          <w:p w14:paraId="49B13EFA"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p w14:paraId="785D4FB3" w14:textId="77777777" w:rsidR="0015109A" w:rsidRPr="00356CCD" w:rsidRDefault="0015109A" w:rsidP="00885ABC">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r>
      <w:tr w:rsidR="00356CCD" w:rsidRPr="00356CCD" w14:paraId="7CB278A1" w14:textId="77777777" w:rsidTr="00F52FB4">
        <w:trPr>
          <w:trHeight w:val="329"/>
        </w:trPr>
        <w:tc>
          <w:tcPr>
            <w:cnfStyle w:val="001000000000" w:firstRow="0" w:lastRow="0" w:firstColumn="1" w:lastColumn="0" w:oddVBand="0" w:evenVBand="0" w:oddHBand="0" w:evenHBand="0" w:firstRowFirstColumn="0" w:firstRowLastColumn="0" w:lastRowFirstColumn="0" w:lastRowLastColumn="0"/>
            <w:tcW w:w="3117" w:type="dxa"/>
            <w:vMerge w:val="restart"/>
            <w:hideMark/>
          </w:tcPr>
          <w:p w14:paraId="627D1A3F" w14:textId="77777777" w:rsidR="00356CCD" w:rsidRDefault="00356CCD" w:rsidP="00356CCD">
            <w:pPr>
              <w:adjustRightInd w:val="0"/>
              <w:snapToGrid w:val="0"/>
              <w:spacing w:after="240"/>
              <w:rPr>
                <w:b w:val="0"/>
                <w:bCs w:val="0"/>
                <w:color w:val="auto"/>
              </w:rPr>
            </w:pPr>
            <w:r w:rsidRPr="00356CCD">
              <w:rPr>
                <w:color w:val="auto"/>
                <w:lang w:val="en-US"/>
              </w:rPr>
              <w:lastRenderedPageBreak/>
              <w:t>Are processes in place for regular review of the SD and ED surgical care model, including suitability of procedures, update of clinical protocols and pathways?</w:t>
            </w:r>
            <w:r w:rsidRPr="00356CCD">
              <w:rPr>
                <w:color w:val="auto"/>
              </w:rPr>
              <w:t> </w:t>
            </w:r>
          </w:p>
          <w:p w14:paraId="58A0321E" w14:textId="77777777" w:rsidR="0004085C" w:rsidRDefault="0004085C" w:rsidP="00356CCD">
            <w:pPr>
              <w:adjustRightInd w:val="0"/>
              <w:snapToGrid w:val="0"/>
              <w:spacing w:after="240"/>
              <w:rPr>
                <w:b w:val="0"/>
                <w:bCs w:val="0"/>
                <w:color w:val="auto"/>
              </w:rPr>
            </w:pPr>
          </w:p>
          <w:p w14:paraId="30872CAC" w14:textId="77777777" w:rsidR="0004085C" w:rsidRDefault="0004085C" w:rsidP="00356CCD">
            <w:pPr>
              <w:adjustRightInd w:val="0"/>
              <w:snapToGrid w:val="0"/>
              <w:spacing w:after="240"/>
              <w:rPr>
                <w:b w:val="0"/>
                <w:bCs w:val="0"/>
                <w:color w:val="auto"/>
              </w:rPr>
            </w:pPr>
          </w:p>
          <w:p w14:paraId="389D69EF" w14:textId="77777777" w:rsidR="0004085C" w:rsidRPr="00356CCD" w:rsidRDefault="0004085C" w:rsidP="00356CCD">
            <w:pPr>
              <w:adjustRightInd w:val="0"/>
              <w:snapToGrid w:val="0"/>
              <w:spacing w:after="240"/>
              <w:rPr>
                <w:color w:val="auto"/>
              </w:rPr>
            </w:pPr>
          </w:p>
        </w:tc>
        <w:tc>
          <w:tcPr>
            <w:tcW w:w="6214" w:type="dxa"/>
            <w:vMerge w:val="restart"/>
            <w:hideMark/>
          </w:tcPr>
          <w:p w14:paraId="09F5DAAE"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Review hospital and district level data regularly to monitor progress. </w:t>
            </w:r>
            <w:r w:rsidRPr="00356CCD">
              <w:rPr>
                <w:color w:val="auto"/>
              </w:rPr>
              <w:t> </w:t>
            </w:r>
          </w:p>
          <w:p w14:paraId="37D30B6B"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lang w:val="en-US"/>
              </w:rPr>
              <w:t>Identify and implement strategies to enhance access or further embed SD and ED surgical care model.</w:t>
            </w:r>
            <w:r w:rsidRPr="00356CCD">
              <w:rPr>
                <w:color w:val="auto"/>
              </w:rPr>
              <w:t> </w:t>
            </w:r>
          </w:p>
        </w:tc>
        <w:tc>
          <w:tcPr>
            <w:tcW w:w="1888" w:type="dxa"/>
            <w:hideMark/>
          </w:tcPr>
          <w:p w14:paraId="3669E947"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2" w:type="dxa"/>
            <w:hideMark/>
          </w:tcPr>
          <w:p w14:paraId="182727BB"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c>
          <w:tcPr>
            <w:tcW w:w="1963" w:type="dxa"/>
            <w:hideMark/>
          </w:tcPr>
          <w:p w14:paraId="312BE9BB" w14:textId="77777777" w:rsidR="00356CCD" w:rsidRPr="00356CCD" w:rsidRDefault="00356CCD" w:rsidP="00356CCD">
            <w:pPr>
              <w:adjustRightInd w:val="0"/>
              <w:snapToGrid w:val="0"/>
              <w:spacing w:after="240"/>
              <w:cnfStyle w:val="000000000000" w:firstRow="0" w:lastRow="0" w:firstColumn="0" w:lastColumn="0" w:oddVBand="0" w:evenVBand="0" w:oddHBand="0" w:evenHBand="0" w:firstRowFirstColumn="0" w:firstRowLastColumn="0" w:lastRowFirstColumn="0" w:lastRowLastColumn="0"/>
              <w:rPr>
                <w:color w:val="auto"/>
              </w:rPr>
            </w:pPr>
            <w:r w:rsidRPr="00356CCD">
              <w:rPr>
                <w:color w:val="auto"/>
              </w:rPr>
              <w:sym w:font="Symbol" w:char="F084"/>
            </w:r>
          </w:p>
        </w:tc>
      </w:tr>
      <w:tr w:rsidR="00356CCD" w:rsidRPr="00356CCD" w14:paraId="3263E9B3" w14:textId="77777777" w:rsidTr="00356CCD">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0" w:type="auto"/>
            <w:vMerge/>
            <w:hideMark/>
          </w:tcPr>
          <w:p w14:paraId="65CAC68D" w14:textId="77777777" w:rsidR="00356CCD" w:rsidRPr="00356CCD" w:rsidRDefault="00356CCD" w:rsidP="00356CCD">
            <w:pPr>
              <w:adjustRightInd w:val="0"/>
              <w:snapToGrid w:val="0"/>
              <w:spacing w:after="240"/>
              <w:rPr>
                <w:color w:val="auto"/>
              </w:rPr>
            </w:pPr>
          </w:p>
        </w:tc>
        <w:tc>
          <w:tcPr>
            <w:tcW w:w="0" w:type="auto"/>
            <w:vMerge/>
            <w:hideMark/>
          </w:tcPr>
          <w:p w14:paraId="2F2FF80C"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c>
          <w:tcPr>
            <w:tcW w:w="5813" w:type="dxa"/>
            <w:gridSpan w:val="3"/>
            <w:hideMark/>
          </w:tcPr>
          <w:p w14:paraId="5E4BC29E" w14:textId="77777777" w:rsidR="00356CCD" w:rsidRPr="00356CCD" w:rsidRDefault="00356CCD" w:rsidP="00356CCD">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r w:rsidRPr="00356CCD">
              <w:rPr>
                <w:color w:val="auto"/>
                <w:u w:val="single"/>
                <w:lang w:val="en-US"/>
              </w:rPr>
              <w:t>Notes:</w:t>
            </w:r>
            <w:r w:rsidRPr="00356CCD">
              <w:rPr>
                <w:color w:val="auto"/>
              </w:rPr>
              <w:t> </w:t>
            </w:r>
          </w:p>
          <w:p w14:paraId="44A2BE1B" w14:textId="77777777" w:rsidR="00356CCD" w:rsidRPr="00356CCD" w:rsidRDefault="00356CCD" w:rsidP="00885ABC">
            <w:pPr>
              <w:adjustRightInd w:val="0"/>
              <w:snapToGrid w:val="0"/>
              <w:spacing w:after="240"/>
              <w:cnfStyle w:val="000000100000" w:firstRow="0" w:lastRow="0" w:firstColumn="0" w:lastColumn="0" w:oddVBand="0" w:evenVBand="0" w:oddHBand="1" w:evenHBand="0" w:firstRowFirstColumn="0" w:firstRowLastColumn="0" w:lastRowFirstColumn="0" w:lastRowLastColumn="0"/>
              <w:rPr>
                <w:color w:val="auto"/>
              </w:rPr>
            </w:pPr>
          </w:p>
        </w:tc>
      </w:tr>
    </w:tbl>
    <w:p w14:paraId="0FECAA6E" w14:textId="77777777" w:rsidR="001A33E7" w:rsidRDefault="001A33E7" w:rsidP="00303466"/>
    <w:p w14:paraId="77A6AD45" w14:textId="77777777" w:rsidR="00DA1767" w:rsidRDefault="00DA1767" w:rsidP="00303466"/>
    <w:p w14:paraId="22DD3B88" w14:textId="77777777" w:rsidR="00DA1767" w:rsidRDefault="00DA1767" w:rsidP="00C55404">
      <w:pPr>
        <w:rPr>
          <w:lang w:val="en-US" w:eastAsia="en-US"/>
        </w:rPr>
      </w:pPr>
    </w:p>
    <w:tbl>
      <w:tblPr>
        <w:tblpPr w:leftFromText="181" w:rightFromText="181" w:vertAnchor="text" w:horzAnchor="margin" w:tblpY="3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1"/>
        <w:gridCol w:w="2835"/>
        <w:gridCol w:w="142"/>
        <w:gridCol w:w="2360"/>
      </w:tblGrid>
      <w:tr w:rsidR="00C55404" w:rsidRPr="00EC6D58" w14:paraId="72AD69A1" w14:textId="77777777" w:rsidTr="00EB6C5F">
        <w:trPr>
          <w:trHeight w:val="361"/>
        </w:trPr>
        <w:tc>
          <w:tcPr>
            <w:tcW w:w="3681" w:type="dxa"/>
          </w:tcPr>
          <w:p w14:paraId="181A4FAB" w14:textId="77777777" w:rsidR="00C55404" w:rsidRPr="00EC6D58" w:rsidRDefault="00C55404" w:rsidP="00F52FB4">
            <w:pPr>
              <w:spacing w:after="0"/>
              <w:rPr>
                <w:sz w:val="18"/>
                <w:szCs w:val="18"/>
              </w:rPr>
            </w:pPr>
            <w:r w:rsidRPr="00EC6D58">
              <w:rPr>
                <w:sz w:val="18"/>
                <w:szCs w:val="18"/>
              </w:rPr>
              <w:t>Title</w:t>
            </w:r>
          </w:p>
        </w:tc>
        <w:tc>
          <w:tcPr>
            <w:tcW w:w="5337" w:type="dxa"/>
            <w:gridSpan w:val="3"/>
          </w:tcPr>
          <w:p w14:paraId="446F08B2" w14:textId="184CD69E" w:rsidR="00C55404" w:rsidRPr="00EC6D58" w:rsidRDefault="00C55404" w:rsidP="00F52FB4">
            <w:pPr>
              <w:spacing w:after="0"/>
              <w:rPr>
                <w:sz w:val="18"/>
                <w:szCs w:val="18"/>
              </w:rPr>
            </w:pPr>
            <w:r>
              <w:rPr>
                <w:sz w:val="18"/>
                <w:szCs w:val="18"/>
              </w:rPr>
              <w:t xml:space="preserve">Same day surgery admission model: Supplement 1.  Implementation checklist and action plan  </w:t>
            </w:r>
          </w:p>
        </w:tc>
      </w:tr>
      <w:tr w:rsidR="00C55404" w:rsidRPr="00EC6D58" w14:paraId="5BDAAED0" w14:textId="77777777" w:rsidTr="00EB6C5F">
        <w:trPr>
          <w:trHeight w:val="333"/>
        </w:trPr>
        <w:tc>
          <w:tcPr>
            <w:tcW w:w="3681" w:type="dxa"/>
          </w:tcPr>
          <w:p w14:paraId="01BA44F2" w14:textId="77777777" w:rsidR="00C55404" w:rsidRPr="00EC6D58" w:rsidRDefault="00C55404" w:rsidP="00F52FB4">
            <w:pPr>
              <w:spacing w:after="0"/>
              <w:rPr>
                <w:sz w:val="18"/>
                <w:szCs w:val="18"/>
              </w:rPr>
            </w:pPr>
            <w:r>
              <w:rPr>
                <w:sz w:val="18"/>
                <w:szCs w:val="18"/>
              </w:rPr>
              <w:t>Replaces</w:t>
            </w:r>
          </w:p>
        </w:tc>
        <w:tc>
          <w:tcPr>
            <w:tcW w:w="5337" w:type="dxa"/>
            <w:gridSpan w:val="3"/>
          </w:tcPr>
          <w:p w14:paraId="61F3AA57" w14:textId="77777777" w:rsidR="00C55404" w:rsidRPr="003B110A" w:rsidRDefault="00C55404" w:rsidP="00F52FB4">
            <w:pPr>
              <w:spacing w:after="0"/>
              <w:rPr>
                <w:sz w:val="18"/>
                <w:szCs w:val="18"/>
              </w:rPr>
            </w:pPr>
            <w:r>
              <w:rPr>
                <w:sz w:val="18"/>
                <w:szCs w:val="18"/>
              </w:rPr>
              <w:t xml:space="preserve">Month 2011. </w:t>
            </w:r>
            <w:r w:rsidRPr="003B110A">
              <w:rPr>
                <w:sz w:val="18"/>
                <w:szCs w:val="18"/>
              </w:rPr>
              <w:t>Day Only and Extended Day Only</w:t>
            </w:r>
          </w:p>
        </w:tc>
      </w:tr>
      <w:tr w:rsidR="00C55404" w:rsidRPr="00EC6D58" w14:paraId="18DA3307" w14:textId="77777777" w:rsidTr="00EB6C5F">
        <w:trPr>
          <w:trHeight w:val="333"/>
        </w:trPr>
        <w:tc>
          <w:tcPr>
            <w:tcW w:w="3681" w:type="dxa"/>
          </w:tcPr>
          <w:p w14:paraId="6F713EEC" w14:textId="77777777" w:rsidR="00C55404" w:rsidRPr="00EC6D58" w:rsidRDefault="00C55404" w:rsidP="00F52FB4">
            <w:pPr>
              <w:spacing w:after="0"/>
              <w:rPr>
                <w:sz w:val="18"/>
                <w:szCs w:val="18"/>
              </w:rPr>
            </w:pPr>
            <w:r>
              <w:rPr>
                <w:sz w:val="18"/>
                <w:szCs w:val="18"/>
              </w:rPr>
              <w:t>Revised</w:t>
            </w:r>
          </w:p>
        </w:tc>
        <w:tc>
          <w:tcPr>
            <w:tcW w:w="5337" w:type="dxa"/>
            <w:gridSpan w:val="3"/>
          </w:tcPr>
          <w:p w14:paraId="6687CA02" w14:textId="77777777" w:rsidR="00C55404" w:rsidRDefault="00C55404" w:rsidP="00F52FB4">
            <w:pPr>
              <w:spacing w:after="0"/>
              <w:rPr>
                <w:sz w:val="18"/>
                <w:szCs w:val="18"/>
              </w:rPr>
            </w:pPr>
            <w:r>
              <w:rPr>
                <w:sz w:val="18"/>
                <w:szCs w:val="18"/>
              </w:rPr>
              <w:t>April 2024</w:t>
            </w:r>
          </w:p>
          <w:p w14:paraId="025DACAF" w14:textId="77777777" w:rsidR="00C55404" w:rsidRPr="005F3488" w:rsidRDefault="00C55404" w:rsidP="00F52FB4">
            <w:pPr>
              <w:spacing w:after="0"/>
              <w:rPr>
                <w:sz w:val="18"/>
                <w:szCs w:val="18"/>
              </w:rPr>
            </w:pPr>
            <w:r>
              <w:rPr>
                <w:sz w:val="18"/>
                <w:szCs w:val="18"/>
              </w:rPr>
              <w:t>U</w:t>
            </w:r>
            <w:r w:rsidRPr="005F3488">
              <w:rPr>
                <w:sz w:val="18"/>
                <w:szCs w:val="18"/>
              </w:rPr>
              <w:t xml:space="preserve">pdated based on current performance and safety data. </w:t>
            </w:r>
          </w:p>
          <w:p w14:paraId="5EB67603" w14:textId="77777777" w:rsidR="00C55404" w:rsidRPr="00925865" w:rsidRDefault="00C55404" w:rsidP="00F52FB4">
            <w:pPr>
              <w:spacing w:after="0"/>
              <w:rPr>
                <w:sz w:val="18"/>
                <w:szCs w:val="18"/>
              </w:rPr>
            </w:pPr>
          </w:p>
        </w:tc>
      </w:tr>
      <w:tr w:rsidR="00C55404" w:rsidRPr="00EC6D58" w14:paraId="70C6D494" w14:textId="77777777" w:rsidTr="00EB6C5F">
        <w:trPr>
          <w:trHeight w:val="330"/>
        </w:trPr>
        <w:tc>
          <w:tcPr>
            <w:tcW w:w="3681" w:type="dxa"/>
          </w:tcPr>
          <w:p w14:paraId="05E4472C" w14:textId="77777777" w:rsidR="00C55404" w:rsidRPr="00EC6D58" w:rsidRDefault="00C55404" w:rsidP="00F52FB4">
            <w:pPr>
              <w:spacing w:after="0"/>
              <w:rPr>
                <w:sz w:val="18"/>
                <w:szCs w:val="18"/>
              </w:rPr>
            </w:pPr>
            <w:r w:rsidRPr="00EC6D58">
              <w:rPr>
                <w:sz w:val="18"/>
                <w:szCs w:val="18"/>
              </w:rPr>
              <w:t>Next review</w:t>
            </w:r>
          </w:p>
        </w:tc>
        <w:tc>
          <w:tcPr>
            <w:tcW w:w="5337" w:type="dxa"/>
            <w:gridSpan w:val="3"/>
          </w:tcPr>
          <w:p w14:paraId="218B1C3B" w14:textId="77777777" w:rsidR="00C55404" w:rsidRPr="00EC6D58" w:rsidRDefault="00C55404" w:rsidP="00F52FB4">
            <w:pPr>
              <w:spacing w:after="0"/>
              <w:rPr>
                <w:sz w:val="18"/>
                <w:szCs w:val="18"/>
              </w:rPr>
            </w:pPr>
            <w:r w:rsidRPr="00610DAD">
              <w:rPr>
                <w:sz w:val="18"/>
                <w:szCs w:val="18"/>
              </w:rPr>
              <w:t>202</w:t>
            </w:r>
            <w:r>
              <w:rPr>
                <w:sz w:val="18"/>
                <w:szCs w:val="18"/>
              </w:rPr>
              <w:t>9</w:t>
            </w:r>
          </w:p>
        </w:tc>
      </w:tr>
      <w:tr w:rsidR="00C55404" w:rsidRPr="00EC6D58" w14:paraId="1111A631" w14:textId="77777777" w:rsidTr="00EB6C5F">
        <w:trPr>
          <w:trHeight w:val="330"/>
        </w:trPr>
        <w:tc>
          <w:tcPr>
            <w:tcW w:w="3681" w:type="dxa"/>
          </w:tcPr>
          <w:p w14:paraId="16D6271B" w14:textId="77777777" w:rsidR="00C55404" w:rsidRPr="00EC6D58" w:rsidRDefault="00C55404" w:rsidP="00F52FB4">
            <w:pPr>
              <w:spacing w:after="0"/>
              <w:rPr>
                <w:sz w:val="18"/>
                <w:szCs w:val="18"/>
              </w:rPr>
            </w:pPr>
            <w:r w:rsidRPr="00EC6D58">
              <w:rPr>
                <w:sz w:val="18"/>
                <w:szCs w:val="18"/>
              </w:rPr>
              <w:t>Produced by</w:t>
            </w:r>
          </w:p>
        </w:tc>
        <w:tc>
          <w:tcPr>
            <w:tcW w:w="5337" w:type="dxa"/>
            <w:gridSpan w:val="3"/>
          </w:tcPr>
          <w:p w14:paraId="30A6FBAB" w14:textId="77777777" w:rsidR="00C55404" w:rsidRPr="00EC6D58" w:rsidRDefault="00C55404" w:rsidP="00F52FB4">
            <w:pPr>
              <w:spacing w:after="0"/>
              <w:rPr>
                <w:sz w:val="18"/>
                <w:szCs w:val="18"/>
              </w:rPr>
            </w:pPr>
            <w:r w:rsidRPr="00EC6D58">
              <w:rPr>
                <w:sz w:val="18"/>
                <w:szCs w:val="18"/>
              </w:rPr>
              <w:t xml:space="preserve">The ACI </w:t>
            </w:r>
            <w:r>
              <w:rPr>
                <w:sz w:val="18"/>
                <w:szCs w:val="18"/>
              </w:rPr>
              <w:t>Surgical Care N</w:t>
            </w:r>
            <w:r w:rsidRPr="00EC6D58">
              <w:rPr>
                <w:sz w:val="18"/>
                <w:szCs w:val="18"/>
              </w:rPr>
              <w:t>etwork</w:t>
            </w:r>
          </w:p>
        </w:tc>
      </w:tr>
      <w:tr w:rsidR="00C55404" w:rsidRPr="00EC6D58" w14:paraId="484020E7" w14:textId="77777777" w:rsidTr="00EB6C5F">
        <w:trPr>
          <w:trHeight w:val="330"/>
        </w:trPr>
        <w:tc>
          <w:tcPr>
            <w:tcW w:w="3681" w:type="dxa"/>
          </w:tcPr>
          <w:p w14:paraId="6D215BD2" w14:textId="77777777" w:rsidR="00C55404" w:rsidRPr="00EC6D58" w:rsidRDefault="00C55404" w:rsidP="00F52FB4">
            <w:pPr>
              <w:spacing w:after="0"/>
              <w:rPr>
                <w:sz w:val="18"/>
                <w:szCs w:val="18"/>
              </w:rPr>
            </w:pPr>
            <w:r w:rsidRPr="00EC6D58">
              <w:rPr>
                <w:sz w:val="18"/>
                <w:szCs w:val="18"/>
              </w:rPr>
              <w:t>Preferred citation</w:t>
            </w:r>
          </w:p>
        </w:tc>
        <w:tc>
          <w:tcPr>
            <w:tcW w:w="5337" w:type="dxa"/>
            <w:gridSpan w:val="3"/>
          </w:tcPr>
          <w:p w14:paraId="33CC8612" w14:textId="77777777" w:rsidR="00C55404" w:rsidRPr="00EC6D58" w:rsidRDefault="00C55404" w:rsidP="00F52FB4">
            <w:pPr>
              <w:rPr>
                <w:sz w:val="18"/>
                <w:szCs w:val="18"/>
              </w:rPr>
            </w:pPr>
            <w:r w:rsidRPr="00EC6D58">
              <w:rPr>
                <w:sz w:val="18"/>
                <w:szCs w:val="18"/>
              </w:rPr>
              <w:t xml:space="preserve">NSW Agency for Clinical Innovation. </w:t>
            </w:r>
            <w:r>
              <w:rPr>
                <w:sz w:val="18"/>
                <w:szCs w:val="18"/>
              </w:rPr>
              <w:t>Same Day Surgery Admission Model</w:t>
            </w:r>
            <w:r w:rsidRPr="00EC6D58">
              <w:rPr>
                <w:sz w:val="18"/>
                <w:szCs w:val="18"/>
              </w:rPr>
              <w:t>. Sydney: ACI; 202</w:t>
            </w:r>
            <w:r>
              <w:rPr>
                <w:sz w:val="18"/>
                <w:szCs w:val="18"/>
              </w:rPr>
              <w:t>4</w:t>
            </w:r>
            <w:r w:rsidRPr="00EC6D58">
              <w:rPr>
                <w:sz w:val="18"/>
                <w:szCs w:val="18"/>
              </w:rPr>
              <w:t>.</w:t>
            </w:r>
          </w:p>
        </w:tc>
      </w:tr>
      <w:tr w:rsidR="00C55404" w:rsidRPr="00EC6D58" w14:paraId="12CE609E" w14:textId="77777777" w:rsidTr="00EA4824">
        <w:trPr>
          <w:trHeight w:val="330"/>
        </w:trPr>
        <w:tc>
          <w:tcPr>
            <w:tcW w:w="3681" w:type="dxa"/>
          </w:tcPr>
          <w:p w14:paraId="5F3B18E1" w14:textId="1F67E050" w:rsidR="00C55404" w:rsidRPr="00EC6D58" w:rsidRDefault="00C55404" w:rsidP="00F52FB4">
            <w:pPr>
              <w:spacing w:after="0"/>
              <w:rPr>
                <w:b/>
                <w:bCs/>
                <w:sz w:val="18"/>
                <w:szCs w:val="18"/>
              </w:rPr>
            </w:pPr>
            <w:r w:rsidRPr="00EC6D58">
              <w:rPr>
                <w:sz w:val="18"/>
                <w:szCs w:val="18"/>
              </w:rPr>
              <w:t>TRIM ACI</w:t>
            </w:r>
            <w:r w:rsidR="00D768CF">
              <w:rPr>
                <w:sz w:val="18"/>
                <w:szCs w:val="18"/>
              </w:rPr>
              <w:t>/D24/615</w:t>
            </w:r>
          </w:p>
        </w:tc>
        <w:tc>
          <w:tcPr>
            <w:tcW w:w="2835" w:type="dxa"/>
          </w:tcPr>
          <w:p w14:paraId="79365D35" w14:textId="28FB04DC" w:rsidR="00C55404" w:rsidRPr="00EC6D58" w:rsidRDefault="00C55404" w:rsidP="00F52FB4">
            <w:pPr>
              <w:spacing w:after="0"/>
              <w:rPr>
                <w:b/>
                <w:bCs/>
                <w:sz w:val="18"/>
                <w:szCs w:val="18"/>
              </w:rPr>
            </w:pPr>
            <w:r w:rsidRPr="00EC6D58">
              <w:rPr>
                <w:sz w:val="18"/>
                <w:szCs w:val="18"/>
              </w:rPr>
              <w:t xml:space="preserve">SHPN (ACI) </w:t>
            </w:r>
            <w:r w:rsidR="00EB6C5F" w:rsidRPr="00EB6C5F">
              <w:rPr>
                <w:sz w:val="18"/>
                <w:szCs w:val="18"/>
              </w:rPr>
              <w:t>240247</w:t>
            </w:r>
          </w:p>
        </w:tc>
        <w:tc>
          <w:tcPr>
            <w:tcW w:w="142" w:type="dxa"/>
            <w:tcBorders>
              <w:right w:val="nil"/>
            </w:tcBorders>
          </w:tcPr>
          <w:p w14:paraId="35A2A28E" w14:textId="0513B430" w:rsidR="00C55404" w:rsidRPr="00EC6D58" w:rsidRDefault="00C55404" w:rsidP="00F52FB4">
            <w:pPr>
              <w:spacing w:after="0"/>
              <w:rPr>
                <w:sz w:val="18"/>
                <w:szCs w:val="18"/>
              </w:rPr>
            </w:pPr>
          </w:p>
        </w:tc>
        <w:tc>
          <w:tcPr>
            <w:tcW w:w="2360" w:type="dxa"/>
            <w:tcBorders>
              <w:left w:val="nil"/>
            </w:tcBorders>
          </w:tcPr>
          <w:p w14:paraId="3B42F56E" w14:textId="77777777" w:rsidR="00C55404" w:rsidRPr="00EC6D58" w:rsidRDefault="00C55404" w:rsidP="00F52FB4">
            <w:pPr>
              <w:spacing w:after="0"/>
              <w:rPr>
                <w:sz w:val="18"/>
                <w:szCs w:val="18"/>
              </w:rPr>
            </w:pPr>
            <w:r w:rsidRPr="00EC6D58">
              <w:rPr>
                <w:sz w:val="18"/>
                <w:szCs w:val="18"/>
              </w:rPr>
              <w:t>ACI_</w:t>
            </w:r>
            <w:r>
              <w:rPr>
                <w:sz w:val="18"/>
                <w:szCs w:val="18"/>
              </w:rPr>
              <w:t>9193</w:t>
            </w:r>
          </w:p>
        </w:tc>
      </w:tr>
    </w:tbl>
    <w:p w14:paraId="125D5735" w14:textId="77777777" w:rsidR="00C55404" w:rsidRPr="006906BF" w:rsidRDefault="00C55404" w:rsidP="00F13B4C">
      <w:pPr>
        <w:rPr>
          <w:lang w:val="en-US" w:eastAsia="en-US"/>
        </w:rPr>
      </w:pPr>
    </w:p>
    <w:sectPr w:rsidR="00C55404" w:rsidRPr="006906BF" w:rsidSect="00F5178D">
      <w:headerReference w:type="default" r:id="rId14"/>
      <w:footerReference w:type="default" r:id="rId15"/>
      <w:headerReference w:type="first" r:id="rId16"/>
      <w:footerReference w:type="first" r:id="rId17"/>
      <w:pgSz w:w="16838" w:h="11906" w:orient="landscape" w:code="9"/>
      <w:pgMar w:top="851" w:right="709" w:bottom="851" w:left="992" w:header="567"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4993" w14:textId="77777777" w:rsidR="00F5178D" w:rsidRDefault="00F5178D" w:rsidP="00AD24EB">
      <w:pPr>
        <w:spacing w:line="240" w:lineRule="auto"/>
      </w:pPr>
      <w:r>
        <w:separator/>
      </w:r>
    </w:p>
  </w:endnote>
  <w:endnote w:type="continuationSeparator" w:id="0">
    <w:p w14:paraId="522D0F5F" w14:textId="77777777" w:rsidR="00F5178D" w:rsidRDefault="00F5178D" w:rsidP="00AD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4321" w14:textId="05645D42" w:rsidR="00E72AA0" w:rsidRPr="00E72AA0" w:rsidRDefault="00E72AA0" w:rsidP="00E72AA0">
    <w:pPr>
      <w:pStyle w:val="Footer"/>
      <w:pBdr>
        <w:top w:val="single" w:sz="4" w:space="7" w:color="006892"/>
      </w:pBdr>
      <w:tabs>
        <w:tab w:val="clear" w:pos="9026"/>
        <w:tab w:val="right" w:pos="10204"/>
      </w:tabs>
      <w:rPr>
        <w:b/>
        <w:sz w:val="16"/>
        <w:szCs w:val="16"/>
      </w:rPr>
    </w:pPr>
    <w:r>
      <w:rPr>
        <w:sz w:val="15"/>
        <w:szCs w:val="15"/>
      </w:rPr>
      <w:t xml:space="preserve">NSW Agency for Clinical </w:t>
    </w:r>
    <w:proofErr w:type="gramStart"/>
    <w:r>
      <w:rPr>
        <w:sz w:val="15"/>
        <w:szCs w:val="15"/>
      </w:rPr>
      <w:t>Innovation</w:t>
    </w:r>
    <w:r w:rsidRPr="00CC3EB1">
      <w:rPr>
        <w:sz w:val="15"/>
        <w:szCs w:val="15"/>
      </w:rPr>
      <w:t xml:space="preserve"> </w:t>
    </w:r>
    <w:r w:rsidRPr="00CC3EB1">
      <w:rPr>
        <w:color w:val="CED8DA" w:themeColor="accent4"/>
        <w:sz w:val="15"/>
        <w:szCs w:val="15"/>
      </w:rPr>
      <w:t xml:space="preserve"> </w:t>
    </w:r>
    <w:r w:rsidRPr="00E26781">
      <w:rPr>
        <w:color w:val="006892"/>
        <w:sz w:val="15"/>
        <w:szCs w:val="15"/>
      </w:rPr>
      <w:t>|</w:t>
    </w:r>
    <w:proofErr w:type="gramEnd"/>
    <w:r w:rsidRPr="00CC3EB1">
      <w:rPr>
        <w:color w:val="CED8DA" w:themeColor="accent4"/>
        <w:sz w:val="15"/>
        <w:szCs w:val="15"/>
      </w:rPr>
      <w:t xml:space="preserve">  </w:t>
    </w:r>
    <w:r w:rsidRPr="00CC3EB1">
      <w:rPr>
        <w:sz w:val="15"/>
        <w:szCs w:val="15"/>
      </w:rPr>
      <w:t>+61 (02) 9464 4666</w:t>
    </w:r>
    <w:sdt>
      <w:sdtPr>
        <w:rPr>
          <w:sz w:val="15"/>
          <w:szCs w:val="15"/>
        </w:rPr>
        <w:id w:val="666370530"/>
        <w:docPartObj>
          <w:docPartGallery w:val="Page Numbers (Bottom of Page)"/>
          <w:docPartUnique/>
        </w:docPartObj>
      </w:sdtPr>
      <w:sdtEndPr>
        <w:rPr>
          <w:rStyle w:val="PageNumber"/>
          <w:b/>
          <w:color w:val="000000" w:themeColor="text1"/>
          <w:sz w:val="16"/>
          <w:szCs w:val="16"/>
        </w:rPr>
      </w:sdtEndPr>
      <w:sdtContent>
        <w:r w:rsidRPr="00CC3EB1">
          <w:rPr>
            <w:sz w:val="15"/>
            <w:szCs w:val="15"/>
          </w:rPr>
          <w:t xml:space="preserve"> </w:t>
        </w:r>
        <w:r w:rsidRPr="00CC3EB1">
          <w:rPr>
            <w:color w:val="CED8DA" w:themeColor="accent4"/>
            <w:sz w:val="15"/>
            <w:szCs w:val="15"/>
          </w:rPr>
          <w:t xml:space="preserve"> </w:t>
        </w:r>
        <w:r w:rsidRPr="00E26781">
          <w:rPr>
            <w:color w:val="006892"/>
            <w:sz w:val="15"/>
            <w:szCs w:val="15"/>
          </w:rPr>
          <w:t>|</w:t>
        </w:r>
        <w:r w:rsidRPr="00CC3EB1">
          <w:rPr>
            <w:color w:val="CED8DA" w:themeColor="accent4"/>
            <w:sz w:val="15"/>
            <w:szCs w:val="15"/>
          </w:rPr>
          <w:t xml:space="preserve">  </w:t>
        </w:r>
        <w:r w:rsidRPr="00CC3EB1">
          <w:rPr>
            <w:sz w:val="15"/>
            <w:szCs w:val="15"/>
          </w:rPr>
          <w:t xml:space="preserve">aci-info@health.nsw.gov.au </w:t>
        </w:r>
        <w:r w:rsidRPr="00CC3EB1">
          <w:rPr>
            <w:color w:val="CED8DA" w:themeColor="accent4"/>
            <w:sz w:val="15"/>
            <w:szCs w:val="15"/>
          </w:rPr>
          <w:t xml:space="preserve"> </w:t>
        </w:r>
        <w:r w:rsidRPr="00E26781">
          <w:rPr>
            <w:color w:val="006892"/>
            <w:sz w:val="15"/>
            <w:szCs w:val="15"/>
          </w:rPr>
          <w:t>|</w:t>
        </w:r>
        <w:r w:rsidRPr="00CC3EB1">
          <w:rPr>
            <w:color w:val="CED8DA" w:themeColor="accent4"/>
            <w:sz w:val="15"/>
            <w:szCs w:val="15"/>
          </w:rPr>
          <w:t xml:space="preserve">  </w:t>
        </w:r>
        <w:r w:rsidRPr="00E26781">
          <w:rPr>
            <w:b/>
            <w:color w:val="006892"/>
            <w:sz w:val="15"/>
            <w:szCs w:val="15"/>
          </w:rPr>
          <w:t>aci.health.nsw.gov.au</w:t>
        </w:r>
        <w:r>
          <w:rPr>
            <w:b/>
            <w:color w:val="006892"/>
            <w:sz w:val="15"/>
            <w:szCs w:val="15"/>
          </w:rPr>
          <w:tab/>
        </w:r>
        <w:r>
          <w:rPr>
            <w:b/>
            <w:color w:val="006892"/>
            <w:sz w:val="15"/>
            <w:szCs w:val="15"/>
          </w:rPr>
          <w:tab/>
        </w:r>
        <w:r>
          <w:rPr>
            <w:b/>
            <w:color w:val="006892"/>
            <w:sz w:val="15"/>
            <w:szCs w:val="15"/>
          </w:rPr>
          <w:tab/>
        </w:r>
        <w:r>
          <w:rPr>
            <w:b/>
            <w:color w:val="006892"/>
            <w:sz w:val="15"/>
            <w:szCs w:val="15"/>
          </w:rPr>
          <w:tab/>
        </w:r>
        <w:r w:rsidR="00485D25">
          <w:rPr>
            <w:b/>
            <w:color w:val="006892"/>
            <w:sz w:val="15"/>
            <w:szCs w:val="15"/>
          </w:rPr>
          <w:tab/>
        </w:r>
        <w:r>
          <w:rPr>
            <w:b/>
            <w:color w:val="006892"/>
            <w:sz w:val="15"/>
            <w:szCs w:val="15"/>
          </w:rPr>
          <w:tab/>
        </w:r>
        <w:r w:rsidRPr="005C20B0">
          <w:rPr>
            <w:sz w:val="16"/>
            <w:szCs w:val="16"/>
          </w:rPr>
          <w:tab/>
        </w:r>
        <w:r w:rsidRPr="005C20B0">
          <w:rPr>
            <w:sz w:val="16"/>
            <w:szCs w:val="16"/>
          </w:rPr>
          <w:fldChar w:fldCharType="begin"/>
        </w:r>
        <w:r w:rsidRPr="005C20B0">
          <w:rPr>
            <w:sz w:val="16"/>
            <w:szCs w:val="16"/>
          </w:rPr>
          <w:instrText xml:space="preserve"> PAGE   \* MERGEFORMAT </w:instrText>
        </w:r>
        <w:r w:rsidRPr="005C20B0">
          <w:rPr>
            <w:sz w:val="16"/>
            <w:szCs w:val="16"/>
          </w:rPr>
          <w:fldChar w:fldCharType="separate"/>
        </w:r>
        <w:r>
          <w:rPr>
            <w:sz w:val="16"/>
            <w:szCs w:val="16"/>
          </w:rPr>
          <w:t>1</w:t>
        </w:r>
        <w:r w:rsidRPr="005C20B0">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1517" w14:textId="312A8CEC" w:rsidR="00E72AA0" w:rsidRPr="001F39F0" w:rsidRDefault="00E72AA0" w:rsidP="00E72AA0">
    <w:pPr>
      <w:pStyle w:val="Footer"/>
      <w:pBdr>
        <w:top w:val="single" w:sz="4" w:space="7" w:color="006892"/>
      </w:pBdr>
      <w:tabs>
        <w:tab w:val="clear" w:pos="9026"/>
        <w:tab w:val="right" w:pos="10204"/>
      </w:tabs>
      <w:rPr>
        <w:b/>
        <w:sz w:val="16"/>
        <w:szCs w:val="16"/>
      </w:rPr>
    </w:pPr>
    <w:r>
      <w:rPr>
        <w:sz w:val="15"/>
        <w:szCs w:val="15"/>
      </w:rPr>
      <w:t xml:space="preserve">NSW Agency for Clinical </w:t>
    </w:r>
    <w:proofErr w:type="gramStart"/>
    <w:r>
      <w:rPr>
        <w:sz w:val="15"/>
        <w:szCs w:val="15"/>
      </w:rPr>
      <w:t>Innovation</w:t>
    </w:r>
    <w:r w:rsidRPr="00CC3EB1">
      <w:rPr>
        <w:sz w:val="15"/>
        <w:szCs w:val="15"/>
      </w:rPr>
      <w:t xml:space="preserve"> </w:t>
    </w:r>
    <w:r w:rsidRPr="00CC3EB1">
      <w:rPr>
        <w:color w:val="CED8DA" w:themeColor="accent4"/>
        <w:sz w:val="15"/>
        <w:szCs w:val="15"/>
      </w:rPr>
      <w:t xml:space="preserve"> </w:t>
    </w:r>
    <w:r w:rsidRPr="00E26781">
      <w:rPr>
        <w:color w:val="006892"/>
        <w:sz w:val="15"/>
        <w:szCs w:val="15"/>
      </w:rPr>
      <w:t>|</w:t>
    </w:r>
    <w:proofErr w:type="gramEnd"/>
    <w:r w:rsidRPr="00CC3EB1">
      <w:rPr>
        <w:color w:val="CED8DA" w:themeColor="accent4"/>
        <w:sz w:val="15"/>
        <w:szCs w:val="15"/>
      </w:rPr>
      <w:t xml:space="preserve">  </w:t>
    </w:r>
    <w:r w:rsidRPr="00CC3EB1">
      <w:rPr>
        <w:sz w:val="15"/>
        <w:szCs w:val="15"/>
      </w:rPr>
      <w:t>+61 (02) 9464 4666</w:t>
    </w:r>
    <w:sdt>
      <w:sdtPr>
        <w:rPr>
          <w:sz w:val="15"/>
          <w:szCs w:val="15"/>
        </w:rPr>
        <w:id w:val="567999696"/>
        <w:docPartObj>
          <w:docPartGallery w:val="Page Numbers (Bottom of Page)"/>
          <w:docPartUnique/>
        </w:docPartObj>
      </w:sdtPr>
      <w:sdtEndPr>
        <w:rPr>
          <w:rStyle w:val="PageNumber"/>
          <w:b/>
          <w:color w:val="000000" w:themeColor="text1"/>
          <w:sz w:val="16"/>
          <w:szCs w:val="16"/>
        </w:rPr>
      </w:sdtEndPr>
      <w:sdtContent>
        <w:r w:rsidRPr="00CC3EB1">
          <w:rPr>
            <w:sz w:val="15"/>
            <w:szCs w:val="15"/>
          </w:rPr>
          <w:t xml:space="preserve"> </w:t>
        </w:r>
        <w:r w:rsidRPr="00CC3EB1">
          <w:rPr>
            <w:color w:val="CED8DA" w:themeColor="accent4"/>
            <w:sz w:val="15"/>
            <w:szCs w:val="15"/>
          </w:rPr>
          <w:t xml:space="preserve"> </w:t>
        </w:r>
        <w:r w:rsidRPr="00E26781">
          <w:rPr>
            <w:color w:val="006892"/>
            <w:sz w:val="15"/>
            <w:szCs w:val="15"/>
          </w:rPr>
          <w:t>|</w:t>
        </w:r>
        <w:r w:rsidRPr="00CC3EB1">
          <w:rPr>
            <w:color w:val="CED8DA" w:themeColor="accent4"/>
            <w:sz w:val="15"/>
            <w:szCs w:val="15"/>
          </w:rPr>
          <w:t xml:space="preserve">  </w:t>
        </w:r>
        <w:r w:rsidRPr="00CC3EB1">
          <w:rPr>
            <w:sz w:val="15"/>
            <w:szCs w:val="15"/>
          </w:rPr>
          <w:t xml:space="preserve">aci-info@health.nsw.gov.au </w:t>
        </w:r>
        <w:r w:rsidRPr="00CC3EB1">
          <w:rPr>
            <w:color w:val="CED8DA" w:themeColor="accent4"/>
            <w:sz w:val="15"/>
            <w:szCs w:val="15"/>
          </w:rPr>
          <w:t xml:space="preserve"> </w:t>
        </w:r>
        <w:r w:rsidRPr="00E26781">
          <w:rPr>
            <w:color w:val="006892"/>
            <w:sz w:val="15"/>
            <w:szCs w:val="15"/>
          </w:rPr>
          <w:t>|</w:t>
        </w:r>
        <w:r w:rsidRPr="00CC3EB1">
          <w:rPr>
            <w:color w:val="CED8DA" w:themeColor="accent4"/>
            <w:sz w:val="15"/>
            <w:szCs w:val="15"/>
          </w:rPr>
          <w:t xml:space="preserve">  </w:t>
        </w:r>
        <w:r w:rsidRPr="00E26781">
          <w:rPr>
            <w:b/>
            <w:color w:val="006892"/>
            <w:sz w:val="15"/>
            <w:szCs w:val="15"/>
          </w:rPr>
          <w:t>aci.health.nsw.gov.au</w:t>
        </w:r>
        <w:r>
          <w:rPr>
            <w:b/>
            <w:color w:val="006892"/>
            <w:sz w:val="15"/>
            <w:szCs w:val="15"/>
          </w:rPr>
          <w:tab/>
        </w:r>
        <w:r w:rsidR="00485D25">
          <w:rPr>
            <w:b/>
            <w:color w:val="006892"/>
            <w:sz w:val="15"/>
            <w:szCs w:val="15"/>
          </w:rPr>
          <w:tab/>
        </w:r>
        <w:r>
          <w:rPr>
            <w:b/>
            <w:color w:val="006892"/>
            <w:sz w:val="15"/>
            <w:szCs w:val="15"/>
          </w:rPr>
          <w:tab/>
        </w:r>
        <w:r>
          <w:rPr>
            <w:b/>
            <w:color w:val="006892"/>
            <w:sz w:val="15"/>
            <w:szCs w:val="15"/>
          </w:rPr>
          <w:tab/>
        </w:r>
        <w:r>
          <w:rPr>
            <w:b/>
            <w:color w:val="006892"/>
            <w:sz w:val="15"/>
            <w:szCs w:val="15"/>
          </w:rPr>
          <w:tab/>
        </w:r>
        <w:r>
          <w:rPr>
            <w:b/>
            <w:color w:val="006892"/>
            <w:sz w:val="15"/>
            <w:szCs w:val="15"/>
          </w:rPr>
          <w:tab/>
        </w:r>
        <w:r w:rsidRPr="005C20B0">
          <w:rPr>
            <w:sz w:val="16"/>
            <w:szCs w:val="16"/>
          </w:rPr>
          <w:tab/>
        </w:r>
        <w:r w:rsidRPr="005C20B0">
          <w:rPr>
            <w:sz w:val="16"/>
            <w:szCs w:val="16"/>
          </w:rPr>
          <w:fldChar w:fldCharType="begin"/>
        </w:r>
        <w:r w:rsidRPr="005C20B0">
          <w:rPr>
            <w:sz w:val="16"/>
            <w:szCs w:val="16"/>
          </w:rPr>
          <w:instrText xml:space="preserve"> PAGE   \* MERGEFORMAT </w:instrText>
        </w:r>
        <w:r w:rsidRPr="005C20B0">
          <w:rPr>
            <w:sz w:val="16"/>
            <w:szCs w:val="16"/>
          </w:rPr>
          <w:fldChar w:fldCharType="separate"/>
        </w:r>
        <w:r>
          <w:rPr>
            <w:sz w:val="16"/>
            <w:szCs w:val="16"/>
          </w:rPr>
          <w:t>1</w:t>
        </w:r>
        <w:r w:rsidRPr="005C20B0">
          <w:rPr>
            <w:noProof/>
            <w:sz w:val="16"/>
            <w:szCs w:val="16"/>
          </w:rPr>
          <w:fldChar w:fldCharType="end"/>
        </w:r>
      </w:sdtContent>
    </w:sdt>
  </w:p>
  <w:p w14:paraId="0A9D47E3" w14:textId="080CF184" w:rsidR="00493409" w:rsidRPr="00E72AA0" w:rsidRDefault="00493409" w:rsidP="00E7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F0B2" w14:textId="77777777" w:rsidR="00F5178D" w:rsidRDefault="00F5178D" w:rsidP="00AD24EB">
      <w:pPr>
        <w:spacing w:line="240" w:lineRule="auto"/>
      </w:pPr>
      <w:r>
        <w:separator/>
      </w:r>
    </w:p>
  </w:footnote>
  <w:footnote w:type="continuationSeparator" w:id="0">
    <w:p w14:paraId="3FB9CB43" w14:textId="77777777" w:rsidR="00F5178D" w:rsidRDefault="00F5178D" w:rsidP="00AD2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0E94" w14:textId="77777777" w:rsidR="002C0DCC" w:rsidRPr="002C0DCC" w:rsidRDefault="002C0DCC" w:rsidP="002C0DCC">
    <w:pPr>
      <w:rPr>
        <w:sz w:val="18"/>
        <w:szCs w:val="18"/>
      </w:rPr>
    </w:pPr>
    <w:r>
      <w:rPr>
        <w:sz w:val="18"/>
        <w:szCs w:val="18"/>
      </w:rPr>
      <w:t>Same day surgery admission model: Supplement 1. Implementation checklist and action plan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331E">
      <w:rPr>
        <w:sz w:val="18"/>
        <w:szCs w:val="18"/>
      </w:rPr>
      <w:t>April 202</w:t>
    </w:r>
    <w:r>
      <w:rPr>
        <w:sz w:val="18"/>
        <w:szCs w:val="18"/>
      </w:rPr>
      <w:t>4</w:t>
    </w:r>
  </w:p>
  <w:p w14:paraId="759F245D" w14:textId="77777777" w:rsidR="009F366F" w:rsidRDefault="009F3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8533" w14:textId="2999EE87" w:rsidR="002C0DCC" w:rsidRDefault="00F52EAF">
    <w:pPr>
      <w:pStyle w:val="Header"/>
    </w:pPr>
    <w:r>
      <w:rPr>
        <w:noProof/>
      </w:rPr>
      <w:drawing>
        <wp:anchor distT="0" distB="0" distL="114300" distR="114300" simplePos="0" relativeHeight="251659264" behindDoc="1" locked="0" layoutInCell="1" allowOverlap="1" wp14:anchorId="11607455" wp14:editId="06C5CEF4">
          <wp:simplePos x="0" y="0"/>
          <wp:positionH relativeFrom="page">
            <wp:posOffset>104775</wp:posOffset>
          </wp:positionH>
          <wp:positionV relativeFrom="paragraph">
            <wp:posOffset>-333375</wp:posOffset>
          </wp:positionV>
          <wp:extent cx="7560000" cy="1196307"/>
          <wp:effectExtent l="0" t="0" r="3175" b="4445"/>
          <wp:wrapNone/>
          <wp:docPr id="1297638204" name="Picture 1297638204" descr="A black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38204" name="Picture 1297638204" descr="A black rectangular object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963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3086"/>
    <w:multiLevelType w:val="hybridMultilevel"/>
    <w:tmpl w:val="674C6F12"/>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D475C2"/>
    <w:multiLevelType w:val="hybridMultilevel"/>
    <w:tmpl w:val="AC96943A"/>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55065B"/>
    <w:multiLevelType w:val="hybridMultilevel"/>
    <w:tmpl w:val="E4E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EF2DFC"/>
    <w:multiLevelType w:val="hybridMultilevel"/>
    <w:tmpl w:val="95463A34"/>
    <w:lvl w:ilvl="0" w:tplc="A18AAE3A">
      <w:start w:val="1"/>
      <w:numFmt w:val="decimal"/>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3F932A00"/>
    <w:multiLevelType w:val="hybridMultilevel"/>
    <w:tmpl w:val="D71A9A24"/>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86265F"/>
    <w:multiLevelType w:val="hybridMultilevel"/>
    <w:tmpl w:val="82A0C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B5248D"/>
    <w:multiLevelType w:val="hybridMultilevel"/>
    <w:tmpl w:val="F7EE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8F690B"/>
    <w:multiLevelType w:val="hybridMultilevel"/>
    <w:tmpl w:val="0EF0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1D32DE"/>
    <w:multiLevelType w:val="hybridMultilevel"/>
    <w:tmpl w:val="3C58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BB1542E"/>
    <w:multiLevelType w:val="hybridMultilevel"/>
    <w:tmpl w:val="46ACA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116DF0"/>
    <w:multiLevelType w:val="hybridMultilevel"/>
    <w:tmpl w:val="D430B7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31963A2"/>
    <w:multiLevelType w:val="multilevel"/>
    <w:tmpl w:val="48D471E0"/>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2" w15:restartNumberingAfterBreak="0">
    <w:nsid w:val="74AB1361"/>
    <w:multiLevelType w:val="hybridMultilevel"/>
    <w:tmpl w:val="6B0E7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36220131">
    <w:abstractNumId w:val="5"/>
  </w:num>
  <w:num w:numId="2" w16cid:durableId="1262566973">
    <w:abstractNumId w:val="7"/>
  </w:num>
  <w:num w:numId="3" w16cid:durableId="682047090">
    <w:abstractNumId w:val="9"/>
  </w:num>
  <w:num w:numId="4" w16cid:durableId="1192956031">
    <w:abstractNumId w:val="11"/>
  </w:num>
  <w:num w:numId="5" w16cid:durableId="1312640258">
    <w:abstractNumId w:val="0"/>
  </w:num>
  <w:num w:numId="6" w16cid:durableId="478352268">
    <w:abstractNumId w:val="3"/>
  </w:num>
  <w:num w:numId="7" w16cid:durableId="1239829447">
    <w:abstractNumId w:val="4"/>
  </w:num>
  <w:num w:numId="8" w16cid:durableId="1278022570">
    <w:abstractNumId w:val="8"/>
  </w:num>
  <w:num w:numId="9" w16cid:durableId="156500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6244617">
    <w:abstractNumId w:val="6"/>
  </w:num>
  <w:num w:numId="11" w16cid:durableId="410274434">
    <w:abstractNumId w:val="2"/>
  </w:num>
  <w:num w:numId="12" w16cid:durableId="2106414480">
    <w:abstractNumId w:val="1"/>
  </w:num>
  <w:num w:numId="13" w16cid:durableId="53358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89"/>
    <w:rsid w:val="000055C9"/>
    <w:rsid w:val="0002792F"/>
    <w:rsid w:val="0003438A"/>
    <w:rsid w:val="00036011"/>
    <w:rsid w:val="0004085C"/>
    <w:rsid w:val="00062B90"/>
    <w:rsid w:val="0006788F"/>
    <w:rsid w:val="000A0856"/>
    <w:rsid w:val="000A52CC"/>
    <w:rsid w:val="000B51FB"/>
    <w:rsid w:val="000C0B82"/>
    <w:rsid w:val="000C1A78"/>
    <w:rsid w:val="000F3CF3"/>
    <w:rsid w:val="000F52FB"/>
    <w:rsid w:val="0011353C"/>
    <w:rsid w:val="001336FD"/>
    <w:rsid w:val="00134386"/>
    <w:rsid w:val="00135D0A"/>
    <w:rsid w:val="00137A2E"/>
    <w:rsid w:val="00142524"/>
    <w:rsid w:val="0015109A"/>
    <w:rsid w:val="001628DB"/>
    <w:rsid w:val="0016442B"/>
    <w:rsid w:val="00196BC7"/>
    <w:rsid w:val="001A33E7"/>
    <w:rsid w:val="001C1B67"/>
    <w:rsid w:val="001C3E5D"/>
    <w:rsid w:val="001E331E"/>
    <w:rsid w:val="001E466B"/>
    <w:rsid w:val="001F39F0"/>
    <w:rsid w:val="00222C2D"/>
    <w:rsid w:val="00260C62"/>
    <w:rsid w:val="00270839"/>
    <w:rsid w:val="00297D77"/>
    <w:rsid w:val="002C0DCC"/>
    <w:rsid w:val="002C3036"/>
    <w:rsid w:val="002C3288"/>
    <w:rsid w:val="002E4BD9"/>
    <w:rsid w:val="00303466"/>
    <w:rsid w:val="003061F7"/>
    <w:rsid w:val="00310BDF"/>
    <w:rsid w:val="00356CCD"/>
    <w:rsid w:val="00377EC2"/>
    <w:rsid w:val="003A1C21"/>
    <w:rsid w:val="003B02C6"/>
    <w:rsid w:val="003B1025"/>
    <w:rsid w:val="003C3252"/>
    <w:rsid w:val="003D7D3E"/>
    <w:rsid w:val="003E7723"/>
    <w:rsid w:val="004034A1"/>
    <w:rsid w:val="00425217"/>
    <w:rsid w:val="00451901"/>
    <w:rsid w:val="00485D25"/>
    <w:rsid w:val="00493409"/>
    <w:rsid w:val="004B1B9E"/>
    <w:rsid w:val="004F6DB0"/>
    <w:rsid w:val="00564143"/>
    <w:rsid w:val="00575B1E"/>
    <w:rsid w:val="00583481"/>
    <w:rsid w:val="005A2D02"/>
    <w:rsid w:val="005A50DA"/>
    <w:rsid w:val="005B29B5"/>
    <w:rsid w:val="005F0460"/>
    <w:rsid w:val="00616381"/>
    <w:rsid w:val="00651CD7"/>
    <w:rsid w:val="00665349"/>
    <w:rsid w:val="006702CA"/>
    <w:rsid w:val="00682676"/>
    <w:rsid w:val="006830D4"/>
    <w:rsid w:val="006B3FB7"/>
    <w:rsid w:val="006B61B1"/>
    <w:rsid w:val="006F2CD8"/>
    <w:rsid w:val="00722D4E"/>
    <w:rsid w:val="00742041"/>
    <w:rsid w:val="007540C2"/>
    <w:rsid w:val="007712CF"/>
    <w:rsid w:val="0077445C"/>
    <w:rsid w:val="007B2700"/>
    <w:rsid w:val="007B280F"/>
    <w:rsid w:val="007C468F"/>
    <w:rsid w:val="007C71E4"/>
    <w:rsid w:val="007F2930"/>
    <w:rsid w:val="007F38FB"/>
    <w:rsid w:val="008017F7"/>
    <w:rsid w:val="00801BC1"/>
    <w:rsid w:val="00805DC4"/>
    <w:rsid w:val="00812F24"/>
    <w:rsid w:val="00834175"/>
    <w:rsid w:val="008439A6"/>
    <w:rsid w:val="00865F19"/>
    <w:rsid w:val="00876810"/>
    <w:rsid w:val="0088304F"/>
    <w:rsid w:val="00885ABC"/>
    <w:rsid w:val="008E71C2"/>
    <w:rsid w:val="008F1F65"/>
    <w:rsid w:val="00903B1B"/>
    <w:rsid w:val="009071EE"/>
    <w:rsid w:val="009141C8"/>
    <w:rsid w:val="009238B4"/>
    <w:rsid w:val="00926A8B"/>
    <w:rsid w:val="00935BA9"/>
    <w:rsid w:val="00936E68"/>
    <w:rsid w:val="00951B94"/>
    <w:rsid w:val="00974161"/>
    <w:rsid w:val="0099463A"/>
    <w:rsid w:val="009B6803"/>
    <w:rsid w:val="009C1FC0"/>
    <w:rsid w:val="009C3C6C"/>
    <w:rsid w:val="009D2489"/>
    <w:rsid w:val="009E6408"/>
    <w:rsid w:val="009F366F"/>
    <w:rsid w:val="009F6299"/>
    <w:rsid w:val="00A12661"/>
    <w:rsid w:val="00A30920"/>
    <w:rsid w:val="00A52420"/>
    <w:rsid w:val="00A86116"/>
    <w:rsid w:val="00A87178"/>
    <w:rsid w:val="00A955E3"/>
    <w:rsid w:val="00A97DCD"/>
    <w:rsid w:val="00AA0AAF"/>
    <w:rsid w:val="00AD0371"/>
    <w:rsid w:val="00AD24EB"/>
    <w:rsid w:val="00AE01C3"/>
    <w:rsid w:val="00BB3C9A"/>
    <w:rsid w:val="00C44CD3"/>
    <w:rsid w:val="00C55404"/>
    <w:rsid w:val="00C707C9"/>
    <w:rsid w:val="00C717B9"/>
    <w:rsid w:val="00C80C47"/>
    <w:rsid w:val="00CA58CF"/>
    <w:rsid w:val="00CB0547"/>
    <w:rsid w:val="00CC40C4"/>
    <w:rsid w:val="00D101AB"/>
    <w:rsid w:val="00D4638E"/>
    <w:rsid w:val="00D630A7"/>
    <w:rsid w:val="00D768CF"/>
    <w:rsid w:val="00D82985"/>
    <w:rsid w:val="00D84DE3"/>
    <w:rsid w:val="00DA1219"/>
    <w:rsid w:val="00DA1767"/>
    <w:rsid w:val="00DA57CA"/>
    <w:rsid w:val="00DD3370"/>
    <w:rsid w:val="00DF3AAD"/>
    <w:rsid w:val="00DF46D9"/>
    <w:rsid w:val="00E26781"/>
    <w:rsid w:val="00E466AC"/>
    <w:rsid w:val="00E53E03"/>
    <w:rsid w:val="00E57876"/>
    <w:rsid w:val="00E65680"/>
    <w:rsid w:val="00E72AA0"/>
    <w:rsid w:val="00E87429"/>
    <w:rsid w:val="00EA4824"/>
    <w:rsid w:val="00EB6C5F"/>
    <w:rsid w:val="00EC4F5B"/>
    <w:rsid w:val="00F040CB"/>
    <w:rsid w:val="00F13B4C"/>
    <w:rsid w:val="00F44C2F"/>
    <w:rsid w:val="00F4744D"/>
    <w:rsid w:val="00F5178D"/>
    <w:rsid w:val="00F52EAF"/>
    <w:rsid w:val="00FB2231"/>
    <w:rsid w:val="00FD5C42"/>
    <w:rsid w:val="00FD74E0"/>
    <w:rsid w:val="00FF4DDA"/>
    <w:rsid w:val="00FF5444"/>
    <w:rsid w:val="00FF6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0233"/>
  <w15:docId w15:val="{C4AA34A0-90F0-496C-B83E-D647DC64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04"/>
    <w:pPr>
      <w:spacing w:after="120"/>
    </w:pPr>
    <w:rPr>
      <w:rFonts w:ascii="Arial" w:hAnsi="Arial"/>
      <w:color w:val="2D3A3C" w:themeColor="accent4" w:themeShade="40"/>
    </w:rPr>
  </w:style>
  <w:style w:type="paragraph" w:styleId="Heading1">
    <w:name w:val="heading 1"/>
    <w:basedOn w:val="Subhead1"/>
    <w:next w:val="Normal"/>
    <w:link w:val="Heading1Char"/>
    <w:uiPriority w:val="9"/>
    <w:qFormat/>
    <w:rsid w:val="007540C2"/>
    <w:pPr>
      <w:outlineLvl w:val="0"/>
    </w:pPr>
  </w:style>
  <w:style w:type="paragraph" w:styleId="Heading2">
    <w:name w:val="heading 2"/>
    <w:basedOn w:val="Normal"/>
    <w:next w:val="Normal"/>
    <w:link w:val="Heading2Char"/>
    <w:uiPriority w:val="9"/>
    <w:unhideWhenUsed/>
    <w:qFormat/>
    <w:rsid w:val="007540C2"/>
    <w:pPr>
      <w:keepNext/>
      <w:keepLines/>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7540C2"/>
    <w:pPr>
      <w:keepNext/>
      <w:keepLines/>
      <w:spacing w:before="40" w:after="0"/>
      <w:outlineLvl w:val="2"/>
    </w:pPr>
    <w:rPr>
      <w:rFonts w:asciiTheme="majorHAnsi" w:eastAsiaTheme="majorEastAsia" w:hAnsiTheme="majorHAnsi" w:cstheme="majorBidi"/>
      <w:color w:val="003348" w:themeColor="accent1" w:themeShade="7F"/>
    </w:rPr>
  </w:style>
  <w:style w:type="paragraph" w:styleId="Heading4">
    <w:name w:val="heading 4"/>
    <w:basedOn w:val="Normal"/>
    <w:next w:val="Normal"/>
    <w:link w:val="Heading4Char"/>
    <w:uiPriority w:val="9"/>
    <w:unhideWhenUsed/>
    <w:qFormat/>
    <w:rsid w:val="007540C2"/>
    <w:pPr>
      <w:keepNext/>
      <w:keepLines/>
      <w:spacing w:before="40" w:after="0"/>
      <w:outlineLvl w:val="3"/>
    </w:pPr>
    <w:rPr>
      <w:rFonts w:asciiTheme="majorHAnsi" w:eastAsiaTheme="majorEastAsia" w:hAnsiTheme="majorHAnsi" w:cstheme="majorBidi"/>
      <w:i/>
      <w:iCs/>
      <w:color w:val="006892" w:themeColor="accent1"/>
    </w:rPr>
  </w:style>
  <w:style w:type="paragraph" w:styleId="Heading5">
    <w:name w:val="heading 5"/>
    <w:basedOn w:val="Normal"/>
    <w:next w:val="Normal"/>
    <w:link w:val="Heading5Char"/>
    <w:uiPriority w:val="9"/>
    <w:unhideWhenUsed/>
    <w:rsid w:val="000055C9"/>
    <w:pPr>
      <w:keepNext/>
      <w:keepLines/>
      <w:spacing w:before="40" w:after="0"/>
      <w:outlineLvl w:val="4"/>
    </w:pPr>
    <w:rPr>
      <w:rFonts w:asciiTheme="majorHAnsi" w:eastAsiaTheme="majorEastAsia" w:hAnsiTheme="majorHAnsi" w:cstheme="majorBidi"/>
      <w:color w:val="004D6D" w:themeColor="accent1" w:themeShade="BF"/>
    </w:rPr>
  </w:style>
  <w:style w:type="paragraph" w:styleId="Heading6">
    <w:name w:val="heading 6"/>
    <w:basedOn w:val="Normal"/>
    <w:next w:val="Normal"/>
    <w:link w:val="Heading6Char"/>
    <w:uiPriority w:val="9"/>
    <w:unhideWhenUsed/>
    <w:rsid w:val="000055C9"/>
    <w:pPr>
      <w:keepNext/>
      <w:keepLines/>
      <w:spacing w:before="40" w:after="0"/>
      <w:outlineLvl w:val="5"/>
    </w:pPr>
    <w:rPr>
      <w:rFonts w:asciiTheme="majorHAnsi" w:eastAsiaTheme="majorEastAsia" w:hAnsiTheme="majorHAnsi" w:cstheme="majorBidi"/>
      <w:color w:val="003348" w:themeColor="accent1" w:themeShade="7F"/>
    </w:rPr>
  </w:style>
  <w:style w:type="paragraph" w:styleId="Heading7">
    <w:name w:val="heading 7"/>
    <w:basedOn w:val="Normal"/>
    <w:next w:val="Normal"/>
    <w:link w:val="Heading7Char"/>
    <w:uiPriority w:val="9"/>
    <w:unhideWhenUsed/>
    <w:rsid w:val="000055C9"/>
    <w:pPr>
      <w:keepNext/>
      <w:keepLines/>
      <w:spacing w:before="40" w:after="0"/>
      <w:outlineLvl w:val="6"/>
    </w:pPr>
    <w:rPr>
      <w:rFonts w:asciiTheme="majorHAnsi" w:eastAsiaTheme="majorEastAsia" w:hAnsiTheme="majorHAnsi" w:cstheme="majorBidi"/>
      <w:i/>
      <w:iCs/>
      <w:color w:val="0033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0C2"/>
    <w:rPr>
      <w:rFonts w:ascii="Arial" w:hAnsi="Arial"/>
      <w:b/>
      <w:color w:val="006892" w:themeColor="accent1"/>
      <w:sz w:val="28"/>
      <w:szCs w:val="32"/>
    </w:rPr>
  </w:style>
  <w:style w:type="character" w:customStyle="1" w:styleId="Heading2Char">
    <w:name w:val="Heading 2 Char"/>
    <w:basedOn w:val="DefaultParagraphFont"/>
    <w:link w:val="Heading2"/>
    <w:uiPriority w:val="9"/>
    <w:rsid w:val="007540C2"/>
    <w:rPr>
      <w:rFonts w:asciiTheme="majorHAnsi" w:eastAsiaTheme="majorEastAsia" w:hAnsiTheme="majorHAnsi" w:cstheme="majorBidi"/>
      <w:b/>
      <w:bCs/>
      <w:color w:val="2D3A3C" w:themeColor="accent4" w:themeShade="40"/>
      <w:sz w:val="24"/>
      <w:szCs w:val="24"/>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spacing w:line="240" w:lineRule="auto"/>
    </w:p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spacing w:line="240" w:lineRule="auto"/>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iPriority w:val="99"/>
    <w:unhideWhenUsed/>
    <w:qFormat/>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rsid w:val="001E331E"/>
    <w:pPr>
      <w:spacing w:before="120"/>
    </w:pPr>
  </w:style>
  <w:style w:type="character" w:customStyle="1" w:styleId="Subhead2Char">
    <w:name w:val="Subhead 2 Char"/>
    <w:basedOn w:val="Heading2Char"/>
    <w:link w:val="Subhead2"/>
    <w:rsid w:val="001E331E"/>
    <w:rPr>
      <w:rFonts w:asciiTheme="majorHAnsi" w:eastAsiaTheme="majorEastAsia" w:hAnsiTheme="majorHAnsi" w:cstheme="majorBidi"/>
      <w:b/>
      <w:bCs/>
      <w:color w:val="2D3A3C" w:themeColor="accent4" w:themeShade="40"/>
      <w:sz w:val="26"/>
      <w:szCs w:val="26"/>
    </w:rPr>
  </w:style>
  <w:style w:type="paragraph" w:customStyle="1" w:styleId="TItleheading">
    <w:name w:val="TItle heading"/>
    <w:basedOn w:val="Normal"/>
    <w:link w:val="TItleheadingChar"/>
    <w:qFormat/>
    <w:rsid w:val="009F6299"/>
    <w:pPr>
      <w:pBdr>
        <w:bottom w:val="single" w:sz="4" w:space="6" w:color="006892"/>
      </w:pBdr>
      <w:spacing w:before="480" w:after="360"/>
    </w:pPr>
    <w:rPr>
      <w:b/>
      <w:color w:val="006892"/>
      <w:sz w:val="36"/>
      <w:szCs w:val="36"/>
    </w:rPr>
  </w:style>
  <w:style w:type="character" w:customStyle="1" w:styleId="TItleheadingChar">
    <w:name w:val="TItle heading Char"/>
    <w:basedOn w:val="DefaultParagraphFont"/>
    <w:link w:val="TItleheading"/>
    <w:rsid w:val="009F6299"/>
    <w:rPr>
      <w:rFonts w:ascii="Arial" w:hAnsi="Arial"/>
      <w:b/>
      <w:color w:val="006892"/>
      <w:sz w:val="36"/>
      <w:szCs w:val="36"/>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rsid w:val="0002792F"/>
    <w:pPr>
      <w:spacing w:before="360" w:after="240"/>
    </w:pPr>
    <w:rPr>
      <w:b/>
      <w:color w:val="006892" w:themeColor="accent1"/>
      <w:sz w:val="28"/>
      <w:szCs w:val="32"/>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02792F"/>
    <w:rPr>
      <w:rFonts w:ascii="Arial" w:hAnsi="Arial"/>
      <w:b/>
      <w:color w:val="006892" w:themeColor="accent1"/>
      <w:sz w:val="28"/>
      <w:szCs w:val="32"/>
    </w:rPr>
  </w:style>
  <w:style w:type="paragraph" w:customStyle="1" w:styleId="Bullets">
    <w:name w:val="Bullets"/>
    <w:basedOn w:val="ListParagraph"/>
    <w:link w:val="BulletsChar"/>
    <w:qFormat/>
    <w:rsid w:val="001E331E"/>
    <w:pPr>
      <w:numPr>
        <w:numId w:val="12"/>
      </w:numPr>
      <w:spacing w:after="60"/>
      <w:ind w:left="714" w:hanging="357"/>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1E331E"/>
    <w:rPr>
      <w:rFonts w:ascii="Arial" w:hAnsi="Arial"/>
      <w:color w:val="2D3A3C" w:themeColor="accent4" w:themeShade="40"/>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styleId="UnresolvedMention">
    <w:name w:val="Unresolved Mention"/>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pPr>
      <w:spacing w:before="240"/>
    </w:pPr>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character" w:customStyle="1" w:styleId="Heading3Char">
    <w:name w:val="Heading 3 Char"/>
    <w:basedOn w:val="DefaultParagraphFont"/>
    <w:link w:val="Heading3"/>
    <w:uiPriority w:val="9"/>
    <w:rsid w:val="007540C2"/>
    <w:rPr>
      <w:rFonts w:asciiTheme="majorHAnsi" w:eastAsiaTheme="majorEastAsia" w:hAnsiTheme="majorHAnsi" w:cstheme="majorBidi"/>
      <w:color w:val="003348" w:themeColor="accent1" w:themeShade="7F"/>
    </w:rPr>
  </w:style>
  <w:style w:type="character" w:customStyle="1" w:styleId="Heading4Char">
    <w:name w:val="Heading 4 Char"/>
    <w:basedOn w:val="DefaultParagraphFont"/>
    <w:link w:val="Heading4"/>
    <w:uiPriority w:val="9"/>
    <w:rsid w:val="007540C2"/>
    <w:rPr>
      <w:rFonts w:asciiTheme="majorHAnsi" w:eastAsiaTheme="majorEastAsia" w:hAnsiTheme="majorHAnsi" w:cstheme="majorBidi"/>
      <w:i/>
      <w:iCs/>
      <w:color w:val="006892" w:themeColor="accent1"/>
    </w:rPr>
  </w:style>
  <w:style w:type="character" w:customStyle="1" w:styleId="Heading5Char">
    <w:name w:val="Heading 5 Char"/>
    <w:basedOn w:val="DefaultParagraphFont"/>
    <w:link w:val="Heading5"/>
    <w:uiPriority w:val="9"/>
    <w:rsid w:val="000055C9"/>
    <w:rPr>
      <w:rFonts w:asciiTheme="majorHAnsi" w:eastAsiaTheme="majorEastAsia" w:hAnsiTheme="majorHAnsi" w:cstheme="majorBidi"/>
      <w:color w:val="004D6D" w:themeColor="accent1" w:themeShade="BF"/>
    </w:rPr>
  </w:style>
  <w:style w:type="character" w:customStyle="1" w:styleId="Heading6Char">
    <w:name w:val="Heading 6 Char"/>
    <w:basedOn w:val="DefaultParagraphFont"/>
    <w:link w:val="Heading6"/>
    <w:uiPriority w:val="9"/>
    <w:rsid w:val="000055C9"/>
    <w:rPr>
      <w:rFonts w:asciiTheme="majorHAnsi" w:eastAsiaTheme="majorEastAsia" w:hAnsiTheme="majorHAnsi" w:cstheme="majorBidi"/>
      <w:color w:val="003348" w:themeColor="accent1" w:themeShade="7F"/>
    </w:rPr>
  </w:style>
  <w:style w:type="character" w:customStyle="1" w:styleId="Heading7Char">
    <w:name w:val="Heading 7 Char"/>
    <w:basedOn w:val="DefaultParagraphFont"/>
    <w:link w:val="Heading7"/>
    <w:uiPriority w:val="9"/>
    <w:rsid w:val="000055C9"/>
    <w:rPr>
      <w:rFonts w:asciiTheme="majorHAnsi" w:eastAsiaTheme="majorEastAsia" w:hAnsiTheme="majorHAnsi" w:cstheme="majorBidi"/>
      <w:i/>
      <w:iCs/>
      <w:color w:val="003348" w:themeColor="accent1" w:themeShade="7F"/>
    </w:rPr>
  </w:style>
  <w:style w:type="paragraph" w:styleId="TOC2">
    <w:name w:val="toc 2"/>
    <w:basedOn w:val="Normal"/>
    <w:next w:val="Normal"/>
    <w:autoRedefine/>
    <w:uiPriority w:val="39"/>
    <w:unhideWhenUsed/>
    <w:rsid w:val="00926A8B"/>
    <w:pPr>
      <w:spacing w:after="100"/>
      <w:ind w:left="220"/>
    </w:pPr>
  </w:style>
  <w:style w:type="paragraph" w:styleId="TOC1">
    <w:name w:val="toc 1"/>
    <w:aliases w:val="ACI TOC"/>
    <w:basedOn w:val="Normal"/>
    <w:next w:val="Normal"/>
    <w:autoRedefine/>
    <w:uiPriority w:val="39"/>
    <w:unhideWhenUsed/>
    <w:rsid w:val="00926A8B"/>
    <w:pPr>
      <w:spacing w:after="100"/>
    </w:pPr>
  </w:style>
  <w:style w:type="paragraph" w:styleId="TOC3">
    <w:name w:val="toc 3"/>
    <w:basedOn w:val="Normal"/>
    <w:next w:val="Normal"/>
    <w:autoRedefine/>
    <w:uiPriority w:val="39"/>
    <w:unhideWhenUsed/>
    <w:rsid w:val="00926A8B"/>
    <w:pPr>
      <w:spacing w:after="100"/>
      <w:ind w:left="440"/>
    </w:pPr>
  </w:style>
  <w:style w:type="paragraph" w:styleId="TOC4">
    <w:name w:val="toc 4"/>
    <w:basedOn w:val="Normal"/>
    <w:next w:val="Normal"/>
    <w:autoRedefine/>
    <w:uiPriority w:val="39"/>
    <w:unhideWhenUsed/>
    <w:rsid w:val="00926A8B"/>
    <w:pPr>
      <w:spacing w:after="100"/>
      <w:ind w:left="660"/>
    </w:pPr>
  </w:style>
  <w:style w:type="character" w:styleId="CommentReference">
    <w:name w:val="annotation reference"/>
    <w:basedOn w:val="DefaultParagraphFont"/>
    <w:semiHidden/>
    <w:unhideWhenUsed/>
    <w:rsid w:val="00356CCD"/>
    <w:rPr>
      <w:sz w:val="16"/>
      <w:szCs w:val="16"/>
    </w:rPr>
  </w:style>
  <w:style w:type="paragraph" w:styleId="CommentText">
    <w:name w:val="annotation text"/>
    <w:basedOn w:val="Normal"/>
    <w:link w:val="CommentTextChar"/>
    <w:unhideWhenUsed/>
    <w:rsid w:val="00356CCD"/>
    <w:pPr>
      <w:adjustRightInd w:val="0"/>
      <w:snapToGrid w:val="0"/>
      <w:spacing w:after="240" w:line="240" w:lineRule="auto"/>
    </w:pPr>
    <w:rPr>
      <w:rFonts w:eastAsia="MS Mincho" w:cs="Times New Roman"/>
      <w:color w:val="auto"/>
      <w:sz w:val="20"/>
      <w:szCs w:val="20"/>
      <w:lang w:eastAsia="ja-JP"/>
    </w:rPr>
  </w:style>
  <w:style w:type="character" w:customStyle="1" w:styleId="CommentTextChar">
    <w:name w:val="Comment Text Char"/>
    <w:basedOn w:val="DefaultParagraphFont"/>
    <w:link w:val="CommentText"/>
    <w:rsid w:val="00356CCD"/>
    <w:rPr>
      <w:rFonts w:ascii="Arial" w:eastAsia="MS Mincho" w:hAnsi="Arial" w:cs="Times New Roman"/>
      <w:sz w:val="20"/>
      <w:szCs w:val="20"/>
      <w:lang w:eastAsia="ja-JP"/>
    </w:rPr>
  </w:style>
  <w:style w:type="table" w:customStyle="1" w:styleId="GridTable4-Accent61">
    <w:name w:val="Grid Table 4 - Accent 61"/>
    <w:basedOn w:val="TableNormal"/>
    <w:next w:val="GridTable4-Accent6"/>
    <w:uiPriority w:val="49"/>
    <w:rsid w:val="00356CC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6D4DA"/>
        <w:left w:val="single" w:sz="4" w:space="0" w:color="C6D4DA"/>
        <w:bottom w:val="single" w:sz="4" w:space="0" w:color="C6D4DA"/>
        <w:right w:val="single" w:sz="4" w:space="0" w:color="C6D4DA"/>
        <w:insideH w:val="single" w:sz="4" w:space="0" w:color="C6D4DA"/>
        <w:insideV w:val="single" w:sz="4" w:space="0" w:color="C6D4DA"/>
      </w:tblBorders>
    </w:tblPr>
    <w:tblStylePr w:type="firstRow">
      <w:rPr>
        <w:b/>
        <w:bCs/>
        <w:color w:val="FFFFFF"/>
      </w:rPr>
      <w:tblPr/>
      <w:tcPr>
        <w:tcBorders>
          <w:top w:val="single" w:sz="4" w:space="0" w:color="A1B8C2"/>
          <w:left w:val="single" w:sz="4" w:space="0" w:color="A1B8C2"/>
          <w:bottom w:val="single" w:sz="4" w:space="0" w:color="A1B8C2"/>
          <w:right w:val="single" w:sz="4" w:space="0" w:color="A1B8C2"/>
          <w:insideH w:val="nil"/>
          <w:insideV w:val="nil"/>
        </w:tcBorders>
        <w:shd w:val="clear" w:color="auto" w:fill="A1B8C2"/>
      </w:tcPr>
    </w:tblStylePr>
    <w:tblStylePr w:type="lastRow">
      <w:rPr>
        <w:b/>
        <w:bCs/>
      </w:rPr>
      <w:tblPr/>
      <w:tcPr>
        <w:tcBorders>
          <w:top w:val="double" w:sz="4" w:space="0" w:color="A1B8C2"/>
        </w:tcBorders>
      </w:tcPr>
    </w:tblStylePr>
    <w:tblStylePr w:type="firstCol">
      <w:rPr>
        <w:b/>
        <w:bCs/>
      </w:rPr>
    </w:tblStylePr>
    <w:tblStylePr w:type="lastCol">
      <w:rPr>
        <w:b/>
        <w:bCs/>
      </w:rPr>
    </w:tblStylePr>
    <w:tblStylePr w:type="band1Vert">
      <w:tblPr/>
      <w:tcPr>
        <w:shd w:val="clear" w:color="auto" w:fill="ECF0F2"/>
      </w:tcPr>
    </w:tblStylePr>
    <w:tblStylePr w:type="band1Horz">
      <w:tblPr/>
      <w:tcPr>
        <w:shd w:val="clear" w:color="auto" w:fill="ECF0F2"/>
      </w:tcPr>
    </w:tblStylePr>
  </w:style>
  <w:style w:type="table" w:styleId="GridTable4-Accent6">
    <w:name w:val="Grid Table 4 Accent 6"/>
    <w:basedOn w:val="TableNormal"/>
    <w:uiPriority w:val="49"/>
    <w:rsid w:val="00356CCD"/>
    <w:pPr>
      <w:spacing w:after="0" w:line="240" w:lineRule="auto"/>
    </w:pPr>
    <w:tblPr>
      <w:tblStyleRowBandSize w:val="1"/>
      <w:tblStyleColBandSize w:val="1"/>
      <w:tblBorders>
        <w:top w:val="single" w:sz="4" w:space="0" w:color="FDCE77" w:themeColor="accent6" w:themeTint="99"/>
        <w:left w:val="single" w:sz="4" w:space="0" w:color="FDCE77" w:themeColor="accent6" w:themeTint="99"/>
        <w:bottom w:val="single" w:sz="4" w:space="0" w:color="FDCE77" w:themeColor="accent6" w:themeTint="99"/>
        <w:right w:val="single" w:sz="4" w:space="0" w:color="FDCE77" w:themeColor="accent6" w:themeTint="99"/>
        <w:insideH w:val="single" w:sz="4" w:space="0" w:color="FDCE77" w:themeColor="accent6" w:themeTint="99"/>
        <w:insideV w:val="single" w:sz="4" w:space="0" w:color="FDCE77" w:themeColor="accent6" w:themeTint="99"/>
      </w:tblBorders>
    </w:tblPr>
    <w:tblStylePr w:type="firstRow">
      <w:rPr>
        <w:b/>
        <w:bCs/>
        <w:color w:val="FFFFFF" w:themeColor="background1"/>
      </w:rPr>
      <w:tblPr/>
      <w:tcPr>
        <w:tcBorders>
          <w:top w:val="single" w:sz="4" w:space="0" w:color="FCAF1D" w:themeColor="accent6"/>
          <w:left w:val="single" w:sz="4" w:space="0" w:color="FCAF1D" w:themeColor="accent6"/>
          <w:bottom w:val="single" w:sz="4" w:space="0" w:color="FCAF1D" w:themeColor="accent6"/>
          <w:right w:val="single" w:sz="4" w:space="0" w:color="FCAF1D" w:themeColor="accent6"/>
          <w:insideH w:val="nil"/>
          <w:insideV w:val="nil"/>
        </w:tcBorders>
        <w:shd w:val="clear" w:color="auto" w:fill="FCAF1D" w:themeFill="accent6"/>
      </w:tcPr>
    </w:tblStylePr>
    <w:tblStylePr w:type="lastRow">
      <w:rPr>
        <w:b/>
        <w:bCs/>
      </w:rPr>
      <w:tblPr/>
      <w:tcPr>
        <w:tcBorders>
          <w:top w:val="double" w:sz="4" w:space="0" w:color="FCAF1D" w:themeColor="accent6"/>
        </w:tcBorders>
      </w:tcPr>
    </w:tblStylePr>
    <w:tblStylePr w:type="firstCol">
      <w:rPr>
        <w:b/>
        <w:bCs/>
      </w:rPr>
    </w:tblStylePr>
    <w:tblStylePr w:type="lastCol">
      <w:rPr>
        <w:b/>
        <w:bCs/>
      </w:rPr>
    </w:tblStylePr>
    <w:tblStylePr w:type="band1Vert">
      <w:tblPr/>
      <w:tcPr>
        <w:shd w:val="clear" w:color="auto" w:fill="FEEED1" w:themeFill="accent6" w:themeFillTint="33"/>
      </w:tcPr>
    </w:tblStylePr>
    <w:tblStylePr w:type="band1Horz">
      <w:tblPr/>
      <w:tcPr>
        <w:shd w:val="clear" w:color="auto" w:fill="FEEED1" w:themeFill="accent6" w:themeFillTint="33"/>
      </w:tcPr>
    </w:tblStylePr>
  </w:style>
  <w:style w:type="paragraph" w:styleId="CommentSubject">
    <w:name w:val="annotation subject"/>
    <w:basedOn w:val="CommentText"/>
    <w:next w:val="CommentText"/>
    <w:link w:val="CommentSubjectChar"/>
    <w:uiPriority w:val="99"/>
    <w:semiHidden/>
    <w:unhideWhenUsed/>
    <w:rsid w:val="006702CA"/>
    <w:pPr>
      <w:adjustRightInd/>
      <w:snapToGrid/>
      <w:spacing w:after="120"/>
    </w:pPr>
    <w:rPr>
      <w:rFonts w:eastAsiaTheme="minorEastAsia" w:cstheme="minorBidi"/>
      <w:b/>
      <w:bCs/>
      <w:color w:val="2D3A3C" w:themeColor="accent4" w:themeShade="40"/>
      <w:lang w:eastAsia="en-AU"/>
    </w:rPr>
  </w:style>
  <w:style w:type="character" w:customStyle="1" w:styleId="CommentSubjectChar">
    <w:name w:val="Comment Subject Char"/>
    <w:basedOn w:val="CommentTextChar"/>
    <w:link w:val="CommentSubject"/>
    <w:uiPriority w:val="99"/>
    <w:semiHidden/>
    <w:rsid w:val="006702CA"/>
    <w:rPr>
      <w:rFonts w:ascii="Arial" w:eastAsia="MS Mincho" w:hAnsi="Arial" w:cs="Times New Roman"/>
      <w:b/>
      <w:bCs/>
      <w:color w:val="2D3A3C" w:themeColor="accent4" w:themeShade="4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i.health.nsw.gov.au/statewide-programs/elective-surg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i.health.nsw.gov.au/networks/surgical-care/resources/same-day-surge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i.health.nsw.gov.au/networks/surgical-care/resources/same-day-surge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294035\Downloads\Blank-Document.dotx" TargetMode="External"/></Relationship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D28EE2C6A8647B82B44CF8CCBE857" ma:contentTypeVersion="20" ma:contentTypeDescription="Create a new document." ma:contentTypeScope="" ma:versionID="1e001568da96368865fca611c827c39f">
  <xsd:schema xmlns:xsd="http://www.w3.org/2001/XMLSchema" xmlns:xs="http://www.w3.org/2001/XMLSchema" xmlns:p="http://schemas.microsoft.com/office/2006/metadata/properties" xmlns:ns2="a031c923-98c7-45ff-8f20-55863b538e64" xmlns:ns3="58ead461-8b71-4d91-ae50-328c1b3418b2" targetNamespace="http://schemas.microsoft.com/office/2006/metadata/properties" ma:root="true" ma:fieldsID="7ff2d183d312a8ee98aaeef967e30742" ns2:_="" ns3:_="">
    <xsd:import namespace="a031c923-98c7-45ff-8f20-55863b538e64"/>
    <xsd:import namespace="58ead461-8b71-4d91-ae50-328c1b3418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1c923-98c7-45ff-8f20-55863b538e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b1c444-99e9-4d1c-aecc-6cada02fa604}" ma:internalName="TaxCatchAll" ma:showField="CatchAllData" ma:web="a031c923-98c7-45ff-8f20-55863b538e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ad461-8b71-4d91-ae50-328c1b3418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031c923-98c7-45ff-8f20-55863b538e64" xsi:nil="true"/>
    <lcf76f155ced4ddcb4097134ff3c332f xmlns="58ead461-8b71-4d91-ae50-328c1b341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60C0F5-A0AF-4937-A509-76EBCB7E0D8A}">
  <ds:schemaRefs>
    <ds:schemaRef ds:uri="http://schemas.microsoft.com/sharepoint/v3/contenttype/forms"/>
  </ds:schemaRefs>
</ds:datastoreItem>
</file>

<file path=customXml/itemProps2.xml><?xml version="1.0" encoding="utf-8"?>
<ds:datastoreItem xmlns:ds="http://schemas.openxmlformats.org/officeDocument/2006/customXml" ds:itemID="{DAA2376B-7DF4-464B-9F1E-E4DA277A9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1c923-98c7-45ff-8f20-55863b538e64"/>
    <ds:schemaRef ds:uri="58ead461-8b71-4d91-ae50-328c1b341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4264E-73D5-4C24-A181-510AE9BC845B}">
  <ds:schemaRefs>
    <ds:schemaRef ds:uri="http://schemas.openxmlformats.org/officeDocument/2006/bibliography"/>
  </ds:schemaRefs>
</ds:datastoreItem>
</file>

<file path=customXml/itemProps4.xml><?xml version="1.0" encoding="utf-8"?>
<ds:datastoreItem xmlns:ds="http://schemas.openxmlformats.org/officeDocument/2006/customXml" ds:itemID="{E9EE14F9-81CD-4841-A8F5-AEB9473E5E29}">
  <ds:schemaRefs>
    <ds:schemaRef ds:uri="http://schemas.microsoft.com/office/2006/metadata/properties"/>
    <ds:schemaRef ds:uri="http://schemas.microsoft.com/office/infopath/2007/PartnerControls"/>
    <ds:schemaRef ds:uri="a031c923-98c7-45ff-8f20-55863b538e64"/>
    <ds:schemaRef ds:uri="58ead461-8b71-4d91-ae50-328c1b3418b2"/>
  </ds:schemaRefs>
</ds:datastoreItem>
</file>

<file path=docProps/app.xml><?xml version="1.0" encoding="utf-8"?>
<Properties xmlns="http://schemas.openxmlformats.org/officeDocument/2006/extended-properties" xmlns:vt="http://schemas.openxmlformats.org/officeDocument/2006/docPropsVTypes">
  <Template>Blank-Document</Template>
  <TotalTime>19</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Smiedt (Agency for Clinical Innovation)</dc:creator>
  <cp:lastModifiedBy>Jennifer Smiedt (Agency for Clinical Innovation)</cp:lastModifiedBy>
  <cp:revision>19</cp:revision>
  <dcterms:created xsi:type="dcterms:W3CDTF">2024-04-03T04:48:00Z</dcterms:created>
  <dcterms:modified xsi:type="dcterms:W3CDTF">2024-04-05T06:13:00Z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y fmtid="{D5CDD505-2E9C-101B-9397-08002B2CF9AE}" pid="3" name="ContentTypeId">
    <vt:lpwstr>0x010100846D28EE2C6A8647B82B44CF8CCBE857</vt:lpwstr>
  </property>
  <property fmtid="{D5CDD505-2E9C-101B-9397-08002B2CF9AE}" pid="4" name="MediaServiceImageTags">
    <vt:lpwstr/>
  </property>
</Properties>
</file>