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8BBF" w14:textId="77777777" w:rsidR="00CA179F" w:rsidRDefault="001C0D30" w:rsidP="00CA179F">
      <w:pPr>
        <w:rPr>
          <w:rFonts w:eastAsia="MS Mincho"/>
          <w:lang w:eastAsia="ja-JP"/>
        </w:rPr>
        <w:sectPr w:rsidR="00CA179F" w:rsidSect="008D19C2">
          <w:footerReference w:type="default" r:id="rId8"/>
          <w:headerReference w:type="first" r:id="rId9"/>
          <w:footerReference w:type="first" r:id="rId10"/>
          <w:type w:val="continuous"/>
          <w:pgSz w:w="11906" w:h="16838" w:code="9"/>
          <w:pgMar w:top="2388" w:right="1134" w:bottom="1134" w:left="1134" w:header="567" w:footer="1322" w:gutter="0"/>
          <w:pgNumType w:start="1"/>
          <w:cols w:space="708"/>
          <w:titlePg/>
          <w:docGrid w:linePitch="360"/>
        </w:sectPr>
      </w:pPr>
      <w:r>
        <w:rPr>
          <w:noProof/>
        </w:rPr>
        <mc:AlternateContent>
          <mc:Choice Requires="wps">
            <w:drawing>
              <wp:anchor distT="0" distB="0" distL="114300" distR="114300" simplePos="0" relativeHeight="251659264" behindDoc="0" locked="0" layoutInCell="1" allowOverlap="1" wp14:anchorId="7994F2B8" wp14:editId="6230885C">
                <wp:simplePos x="0" y="0"/>
                <wp:positionH relativeFrom="column">
                  <wp:posOffset>-97790</wp:posOffset>
                </wp:positionH>
                <wp:positionV relativeFrom="paragraph">
                  <wp:posOffset>204470</wp:posOffset>
                </wp:positionV>
                <wp:extent cx="6305550" cy="53721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05550" cy="537210"/>
                        </a:xfrm>
                        <a:prstGeom prst="rect">
                          <a:avLst/>
                        </a:prstGeom>
                        <a:solidFill>
                          <a:srgbClr val="0082AA"/>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C453A" w14:textId="77777777" w:rsidR="00B006F3" w:rsidRPr="00A955E3" w:rsidRDefault="00B006F3" w:rsidP="00CA179F">
                            <w:pPr>
                              <w:spacing w:line="240" w:lineRule="auto"/>
                              <w:rPr>
                                <w:b/>
                                <w:color w:val="FFFFFF" w:themeColor="background1"/>
                                <w:sz w:val="48"/>
                                <w:szCs w:val="48"/>
                              </w:rPr>
                            </w:pPr>
                            <w:r>
                              <w:rPr>
                                <w:b/>
                                <w:color w:val="FFFFFF" w:themeColor="background1"/>
                                <w:sz w:val="48"/>
                                <w:szCs w:val="48"/>
                              </w:rPr>
                              <w:t>Template:</w:t>
                            </w:r>
                            <w:r w:rsidRPr="00276AAC">
                              <w:rPr>
                                <w:b/>
                                <w:color w:val="FFFFFF" w:themeColor="background1"/>
                                <w:sz w:val="48"/>
                                <w:szCs w:val="48"/>
                              </w:rPr>
                              <w:t xml:space="preserve"> Medication Standing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4F2B8" id="_x0000_t202" coordsize="21600,21600" o:spt="202" path="m,l,21600r21600,l21600,xe">
                <v:stroke joinstyle="miter"/>
                <v:path gradientshapeok="t" o:connecttype="rect"/>
              </v:shapetype>
              <v:shape id="Text Box 5" o:spid="_x0000_s1026" type="#_x0000_t202" style="position:absolute;margin-left:-7.7pt;margin-top:16.1pt;width:496.5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vIfgIAAGgFAAAOAAAAZHJzL2Uyb0RvYy54bWysVEtv2zAMvg/YfxB0X52kTdsFdYqsRYcB&#10;RVssHXpWZCkRJosapcTOfv0o2Xms26XDLrYofnx9Inl13daWbRQGA67kw5MBZ8pJqIxblvzb892H&#10;S85CFK4SFpwq+VYFfj19/+6q8RM1ghXYSiEjJy5MGl/yVYx+UhRBrlQtwgl45UipAWsRScRlUaFo&#10;yHtti9FgcF40gJVHkCoEur3tlHya/WutZHzUOqjIbMkpt5i/mL+L9C2mV2KyROFXRvZpiH/IohbG&#10;UdC9q1sRBVuj+cNVbSRCAB1PJNQFaG2kyjVQNcPBq2rmK+FVroXICX5PU/h/buXDZu6fkMX2E7T0&#10;gImQxodJoMtUT6uxTn/KlJGeKNzuaVNtZJIuz08H4/GYVJJ049OL0TDzWhysPYb4WUHN0qHkSM+S&#10;2RKb+xApIkF3kBQsgDXVnbE2C7hc3FhkG5GecHA5ms1SkmTyG8w61qRUKI9k5SDZdzjr0o3K3dDH&#10;O5SYT3FrVcJY91VpZqpcaQ6e+lDtwwsplYuZJIqf0QmlKdRbDHv8Iau3GHd1kEWODC7ujWvjAHP1&#10;eXwOaVffdynrDk/0HdWdjrFdtP3TL6DaUkcgdMMSvLwz9Gz3IsQngTQd9NI08fGRPtoCsQ79ibMV&#10;4M+/3Sc8NS1pOWto2koefqwFKs7sF0ft/HF4dpbGMwtn44sRCXisWRxr3Lq+AeqGIe0WL/Mx4aPd&#10;HTVC/UKLYZaikko4SbFLLiPuhJvYbQFaLVLNZhlGI+lFvHdzL5PzRHBqy+f2RaDvezdS1z/AbjLF&#10;5FULd9hk6WC2jqBN7u9EccdrTz2Nc+7hfvWkfXEsZ9RhQU5/AQAA//8DAFBLAwQUAAYACAAAACEA&#10;E8fsfuEAAAAKAQAADwAAAGRycy9kb3ducmV2LnhtbEyPy07DMBBF90j8gzWV2LVOAqRtGqeqkJCQ&#10;2EBgwdKNJ482Hlu226Z/j1nR5ege3Xum3E56ZGd0fjAkIF0kwJAaowbqBHx/vc5XwHyQpORoCAVc&#10;0cO2ur8rZaHMhT7xXIeOxRLyhRTQh2ALzn3To5Z+YSxSzFrjtAzxdB1XTl5iuR55liQ513KguNBL&#10;iy89Nsf6pAV0B1pPH9fMmoPN29bVP7vj+5sQD7NptwEWcAr/MPzpR3WootPenEh5NgqYp89PERXw&#10;mGXAIrBeLnNg+0im+Qp4VfLbF6pfAAAA//8DAFBLAQItABQABgAIAAAAIQC2gziS/gAAAOEBAAAT&#10;AAAAAAAAAAAAAAAAAAAAAABbQ29udGVudF9UeXBlc10ueG1sUEsBAi0AFAAGAAgAAAAhADj9If/W&#10;AAAAlAEAAAsAAAAAAAAAAAAAAAAALwEAAF9yZWxzLy5yZWxzUEsBAi0AFAAGAAgAAAAhAIMnq8h+&#10;AgAAaAUAAA4AAAAAAAAAAAAAAAAALgIAAGRycy9lMm9Eb2MueG1sUEsBAi0AFAAGAAgAAAAhABPH&#10;7H7hAAAACgEAAA8AAAAAAAAAAAAAAAAA2AQAAGRycy9kb3ducmV2LnhtbFBLBQYAAAAABAAEAPMA&#10;AADmBQAAAAA=&#10;" fillcolor="#0082aa" stroked="f" strokeweight=".5pt">
                <v:textbox>
                  <w:txbxContent>
                    <w:p w14:paraId="607C453A" w14:textId="77777777" w:rsidR="00B006F3" w:rsidRPr="00A955E3" w:rsidRDefault="00B006F3" w:rsidP="00CA179F">
                      <w:pPr>
                        <w:spacing w:line="240" w:lineRule="auto"/>
                        <w:rPr>
                          <w:b/>
                          <w:color w:val="FFFFFF" w:themeColor="background1"/>
                          <w:sz w:val="48"/>
                          <w:szCs w:val="48"/>
                        </w:rPr>
                      </w:pPr>
                      <w:r>
                        <w:rPr>
                          <w:b/>
                          <w:color w:val="FFFFFF" w:themeColor="background1"/>
                          <w:sz w:val="48"/>
                          <w:szCs w:val="48"/>
                        </w:rPr>
                        <w:t>Template:</w:t>
                      </w:r>
                      <w:r w:rsidRPr="00276AAC">
                        <w:rPr>
                          <w:b/>
                          <w:color w:val="FFFFFF" w:themeColor="background1"/>
                          <w:sz w:val="48"/>
                          <w:szCs w:val="48"/>
                        </w:rPr>
                        <w:t xml:space="preserve"> Medication Standing Order</w:t>
                      </w:r>
                    </w:p>
                  </w:txbxContent>
                </v:textbox>
              </v:shape>
            </w:pict>
          </mc:Fallback>
        </mc:AlternateContent>
      </w:r>
    </w:p>
    <w:p w14:paraId="768A0197" w14:textId="77777777" w:rsidR="00CA179F" w:rsidRDefault="00CA179F" w:rsidP="00CA179F"/>
    <w:p w14:paraId="276BEA94" w14:textId="77777777" w:rsidR="00CA179F" w:rsidRPr="00A955E3" w:rsidRDefault="00CA179F" w:rsidP="00CA179F">
      <w:pPr>
        <w:pStyle w:val="ACITableStyle"/>
      </w:pPr>
    </w:p>
    <w:p w14:paraId="7212F8D1" w14:textId="77777777" w:rsidR="00CA179F" w:rsidRDefault="00CA179F" w:rsidP="00CA179F">
      <w:pPr>
        <w:pStyle w:val="ACITableStyle"/>
      </w:pPr>
    </w:p>
    <w:p w14:paraId="5CE06DF3" w14:textId="77777777" w:rsidR="00CA179F" w:rsidRPr="00A955E3" w:rsidRDefault="00CA179F" w:rsidP="00CA179F">
      <w:pPr>
        <w:pStyle w:val="ACITableStyle"/>
      </w:pPr>
    </w:p>
    <w:tbl>
      <w:tblPr>
        <w:tblStyle w:val="TableGrid"/>
        <w:tblW w:w="9918" w:type="dxa"/>
        <w:tblInd w:w="-147" w:type="dxa"/>
        <w:tblLayout w:type="fixed"/>
        <w:tblCellMar>
          <w:top w:w="108" w:type="dxa"/>
          <w:bottom w:w="108" w:type="dxa"/>
        </w:tblCellMar>
        <w:tblLook w:val="04A0" w:firstRow="1" w:lastRow="0" w:firstColumn="1" w:lastColumn="0" w:noHBand="0" w:noVBand="1"/>
      </w:tblPr>
      <w:tblGrid>
        <w:gridCol w:w="1413"/>
        <w:gridCol w:w="8505"/>
      </w:tblGrid>
      <w:tr w:rsidR="005043EC" w14:paraId="0381C2DE" w14:textId="77777777" w:rsidTr="00A42D39">
        <w:tc>
          <w:tcPr>
            <w:tcW w:w="1413" w:type="dxa"/>
            <w:shd w:val="clear" w:color="auto" w:fill="0082AA" w:themeFill="accent2"/>
          </w:tcPr>
          <w:p w14:paraId="28E6DF37" w14:textId="77777777" w:rsidR="005043EC" w:rsidRDefault="00032543" w:rsidP="00A42D39">
            <w:pPr>
              <w:rPr>
                <w:rFonts w:eastAsia="MS Mincho"/>
                <w:lang w:eastAsia="ja-JP"/>
              </w:rPr>
            </w:pPr>
            <w:r w:rsidRPr="00461510">
              <w:rPr>
                <w:rFonts w:eastAsia="MS Mincho"/>
                <w:b/>
                <w:color w:val="FFFFFF" w:themeColor="background1"/>
                <w:lang w:eastAsia="ja-JP"/>
              </w:rPr>
              <w:t>Adult</w:t>
            </w:r>
          </w:p>
        </w:tc>
        <w:tc>
          <w:tcPr>
            <w:tcW w:w="8505" w:type="dxa"/>
          </w:tcPr>
          <w:p w14:paraId="3C0E15F3" w14:textId="77777777" w:rsidR="00461510" w:rsidRPr="009B318A" w:rsidRDefault="00032543" w:rsidP="00A42D39">
            <w:pPr>
              <w:rPr>
                <w:rFonts w:eastAsia="MS Mincho"/>
                <w:b/>
                <w:sz w:val="32"/>
                <w:lang w:eastAsia="ja-JP"/>
              </w:rPr>
            </w:pPr>
            <w:r w:rsidRPr="009B318A">
              <w:rPr>
                <w:rFonts w:eastAsia="MS Mincho"/>
                <w:b/>
                <w:sz w:val="32"/>
                <w:lang w:eastAsia="ja-JP"/>
              </w:rPr>
              <w:t xml:space="preserve">&lt;GENERIC NAME OF CONTRAST&gt; </w:t>
            </w:r>
          </w:p>
          <w:p w14:paraId="036CE45F" w14:textId="77777777" w:rsidR="00AC32E1" w:rsidRPr="00CD3A3F" w:rsidRDefault="00032543" w:rsidP="00A42D39">
            <w:pPr>
              <w:rPr>
                <w:rFonts w:eastAsia="MS Mincho"/>
                <w:b/>
                <w:sz w:val="14"/>
                <w:lang w:eastAsia="ja-JP"/>
              </w:rPr>
            </w:pPr>
            <w:r w:rsidRPr="009B318A">
              <w:rPr>
                <w:rFonts w:eastAsia="MS Mincho"/>
                <w:b/>
                <w:lang w:eastAsia="ja-JP"/>
              </w:rPr>
              <w:t>Administration of &lt;</w:t>
            </w:r>
            <w:r w:rsidR="00461510" w:rsidRPr="009B318A">
              <w:rPr>
                <w:rFonts w:eastAsia="MS Mincho"/>
                <w:b/>
                <w:lang w:eastAsia="ja-JP"/>
              </w:rPr>
              <w:t>Generic name&gt; for body imaging s</w:t>
            </w:r>
            <w:r w:rsidRPr="009B318A">
              <w:rPr>
                <w:rFonts w:eastAsia="MS Mincho"/>
                <w:b/>
                <w:lang w:eastAsia="ja-JP"/>
              </w:rPr>
              <w:t>tudies using intravenous injection &lt;Consider strengths, manufacturers&gt;</w:t>
            </w:r>
            <w:r w:rsidR="00AF5593" w:rsidRPr="009B318A">
              <w:rPr>
                <w:rFonts w:eastAsia="MS Mincho"/>
                <w:b/>
                <w:lang w:eastAsia="ja-JP"/>
              </w:rPr>
              <w:t xml:space="preserve"> </w:t>
            </w:r>
            <w:r w:rsidR="00AF5593" w:rsidRPr="004C07A3">
              <w:rPr>
                <w:rFonts w:cs="Arial"/>
                <w:b/>
                <w:i/>
                <w:color w:val="004D6D" w:themeColor="accent1" w:themeShade="BF"/>
                <w:sz w:val="21"/>
                <w:szCs w:val="21"/>
              </w:rPr>
              <w:t xml:space="preserve">via this </w:t>
            </w:r>
            <w:r w:rsidR="004F64EC">
              <w:rPr>
                <w:rFonts w:cs="Arial"/>
                <w:b/>
                <w:i/>
                <w:color w:val="004D6D" w:themeColor="accent1" w:themeShade="BF"/>
                <w:sz w:val="21"/>
                <w:szCs w:val="21"/>
              </w:rPr>
              <w:t>S</w:t>
            </w:r>
            <w:r w:rsidR="00AF5593" w:rsidRPr="004C07A3">
              <w:rPr>
                <w:rFonts w:cs="Arial"/>
                <w:b/>
                <w:i/>
                <w:color w:val="004D6D" w:themeColor="accent1" w:themeShade="BF"/>
                <w:sz w:val="21"/>
                <w:szCs w:val="21"/>
              </w:rPr>
              <w:t xml:space="preserve">tanding </w:t>
            </w:r>
            <w:r w:rsidR="004F64EC">
              <w:rPr>
                <w:rFonts w:cs="Arial"/>
                <w:b/>
                <w:i/>
                <w:color w:val="004D6D" w:themeColor="accent1" w:themeShade="BF"/>
                <w:sz w:val="21"/>
                <w:szCs w:val="21"/>
              </w:rPr>
              <w:t>O</w:t>
            </w:r>
            <w:r w:rsidR="00AF5593" w:rsidRPr="004C07A3">
              <w:rPr>
                <w:rFonts w:cs="Arial"/>
                <w:b/>
                <w:i/>
                <w:color w:val="004D6D" w:themeColor="accent1" w:themeShade="BF"/>
                <w:sz w:val="21"/>
                <w:szCs w:val="21"/>
              </w:rPr>
              <w:t xml:space="preserve">rder when the requirements of NSW State Form </w:t>
            </w:r>
            <w:r w:rsidR="00F2581E" w:rsidRPr="00A309A5">
              <w:rPr>
                <w:b/>
                <w:i/>
              </w:rPr>
              <w:t>SMR060.160</w:t>
            </w:r>
            <w:r w:rsidR="00AF5593" w:rsidRPr="004C07A3">
              <w:rPr>
                <w:rFonts w:cs="Arial"/>
                <w:b/>
                <w:i/>
                <w:color w:val="004D6D" w:themeColor="accent1" w:themeShade="BF"/>
                <w:sz w:val="21"/>
                <w:szCs w:val="21"/>
              </w:rPr>
              <w:t xml:space="preserve"> have been met.</w:t>
            </w:r>
          </w:p>
        </w:tc>
      </w:tr>
      <w:tr w:rsidR="00032543" w14:paraId="7CE2047F" w14:textId="77777777" w:rsidTr="00A42D39">
        <w:tc>
          <w:tcPr>
            <w:tcW w:w="1413" w:type="dxa"/>
          </w:tcPr>
          <w:p w14:paraId="241D7486" w14:textId="77777777" w:rsidR="00461510" w:rsidRPr="00EA3785" w:rsidRDefault="00032543" w:rsidP="00A42D39">
            <w:pPr>
              <w:rPr>
                <w:rFonts w:asciiTheme="minorHAnsi" w:hAnsiTheme="minorHAnsi" w:cstheme="minorHAnsi"/>
                <w:b/>
                <w:sz w:val="19"/>
                <w:szCs w:val="19"/>
              </w:rPr>
            </w:pPr>
            <w:r w:rsidRPr="00EA3785">
              <w:rPr>
                <w:rFonts w:asciiTheme="minorHAnsi" w:hAnsiTheme="minorHAnsi" w:cstheme="minorHAnsi"/>
                <w:b/>
                <w:sz w:val="19"/>
                <w:szCs w:val="19"/>
              </w:rPr>
              <w:t>Applicable areas</w:t>
            </w:r>
          </w:p>
        </w:tc>
        <w:tc>
          <w:tcPr>
            <w:tcW w:w="8505" w:type="dxa"/>
          </w:tcPr>
          <w:p w14:paraId="190C0329" w14:textId="77777777" w:rsidR="00032543" w:rsidRPr="00CD3A3F" w:rsidRDefault="00E824C6" w:rsidP="00A42D39">
            <w:pPr>
              <w:rPr>
                <w:rFonts w:asciiTheme="minorHAnsi" w:hAnsiTheme="minorHAnsi" w:cstheme="minorHAnsi"/>
                <w:sz w:val="19"/>
                <w:szCs w:val="19"/>
              </w:rPr>
            </w:pPr>
            <w:r w:rsidRPr="009B318A">
              <w:rPr>
                <w:rFonts w:asciiTheme="minorHAnsi" w:hAnsiTheme="minorHAnsi" w:cstheme="minorHAnsi"/>
                <w:sz w:val="19"/>
                <w:szCs w:val="19"/>
              </w:rPr>
              <w:t>Public health o</w:t>
            </w:r>
            <w:r w:rsidR="00032543" w:rsidRPr="009B318A">
              <w:rPr>
                <w:rFonts w:asciiTheme="minorHAnsi" w:hAnsiTheme="minorHAnsi" w:cstheme="minorHAnsi"/>
                <w:sz w:val="19"/>
                <w:szCs w:val="19"/>
              </w:rPr>
              <w:t xml:space="preserve">rganisation </w:t>
            </w:r>
            <w:r w:rsidRPr="009B318A">
              <w:rPr>
                <w:rFonts w:asciiTheme="minorHAnsi" w:hAnsiTheme="minorHAnsi" w:cstheme="minorHAnsi"/>
                <w:sz w:val="19"/>
                <w:szCs w:val="19"/>
              </w:rPr>
              <w:t>i</w:t>
            </w:r>
            <w:r w:rsidR="00032543" w:rsidRPr="009B318A">
              <w:rPr>
                <w:rFonts w:asciiTheme="minorHAnsi" w:hAnsiTheme="minorHAnsi" w:cstheme="minorHAnsi"/>
                <w:sz w:val="19"/>
                <w:szCs w:val="19"/>
              </w:rPr>
              <w:t xml:space="preserve">maging </w:t>
            </w:r>
            <w:r w:rsidRPr="009B318A">
              <w:rPr>
                <w:rFonts w:asciiTheme="minorHAnsi" w:hAnsiTheme="minorHAnsi" w:cstheme="minorHAnsi"/>
                <w:sz w:val="19"/>
                <w:szCs w:val="19"/>
              </w:rPr>
              <w:t>d</w:t>
            </w:r>
            <w:r w:rsidR="00032543" w:rsidRPr="00CD3A3F">
              <w:rPr>
                <w:rFonts w:asciiTheme="minorHAnsi" w:hAnsiTheme="minorHAnsi" w:cstheme="minorHAnsi"/>
                <w:sz w:val="19"/>
                <w:szCs w:val="19"/>
              </w:rPr>
              <w:t>epartments</w:t>
            </w:r>
            <w:r w:rsidR="00A85ACA" w:rsidRPr="00CD3A3F">
              <w:rPr>
                <w:rFonts w:asciiTheme="minorHAnsi" w:hAnsiTheme="minorHAnsi" w:cstheme="minorHAnsi"/>
                <w:sz w:val="19"/>
                <w:szCs w:val="19"/>
              </w:rPr>
              <w:t>.</w:t>
            </w:r>
          </w:p>
        </w:tc>
      </w:tr>
      <w:tr w:rsidR="00032543" w14:paraId="15974415" w14:textId="77777777" w:rsidTr="00A42D39">
        <w:tc>
          <w:tcPr>
            <w:tcW w:w="1413" w:type="dxa"/>
          </w:tcPr>
          <w:p w14:paraId="05D37CB8" w14:textId="77777777" w:rsidR="00032543" w:rsidRPr="00EA3785" w:rsidRDefault="00032543" w:rsidP="00A42D39">
            <w:pPr>
              <w:tabs>
                <w:tab w:val="right" w:pos="2952"/>
              </w:tabs>
              <w:rPr>
                <w:rFonts w:asciiTheme="minorHAnsi" w:hAnsiTheme="minorHAnsi" w:cstheme="minorHAnsi"/>
                <w:b/>
                <w:sz w:val="19"/>
                <w:szCs w:val="19"/>
              </w:rPr>
            </w:pPr>
            <w:r w:rsidRPr="00EA3785">
              <w:rPr>
                <w:rFonts w:asciiTheme="minorHAnsi" w:hAnsiTheme="minorHAnsi" w:cstheme="minorHAnsi"/>
                <w:b/>
                <w:sz w:val="19"/>
                <w:szCs w:val="19"/>
              </w:rPr>
              <w:t xml:space="preserve">Areas where </w:t>
            </w:r>
            <w:sdt>
              <w:sdtPr>
                <w:rPr>
                  <w:rFonts w:asciiTheme="minorHAnsi" w:hAnsiTheme="minorHAnsi" w:cstheme="minorHAnsi"/>
                  <w:b/>
                  <w:sz w:val="19"/>
                  <w:szCs w:val="19"/>
                </w:rPr>
                <w:alias w:val="Document Type"/>
                <w:tag w:val="Document Type"/>
                <w:id w:val="-464888300"/>
                <w:placeholder>
                  <w:docPart w:val="8EE4BFB7934D4CEFB14F43C349B6BDC7"/>
                </w:placeholder>
                <w:dropDownList>
                  <w:listItem w:value="Choose an item."/>
                  <w:listItem w:displayText="guideline" w:value="guideline"/>
                  <w:listItem w:displayText="standing order" w:value="standing order"/>
                  <w:listItem w:displayText="NIM" w:value="NIM"/>
                  <w:listItem w:displayText="MIM" w:value="MIM"/>
                  <w:listItem w:displayText="N/MIM" w:value="N/MIM"/>
                </w:dropDownList>
              </w:sdtPr>
              <w:sdtContent>
                <w:r w:rsidRPr="00EA3785">
                  <w:rPr>
                    <w:rFonts w:asciiTheme="minorHAnsi" w:hAnsiTheme="minorHAnsi" w:cstheme="minorHAnsi"/>
                    <w:b/>
                    <w:sz w:val="19"/>
                    <w:szCs w:val="19"/>
                  </w:rPr>
                  <w:t>guideline</w:t>
                </w:r>
              </w:sdtContent>
            </w:sdt>
            <w:r w:rsidRPr="00EA3785">
              <w:rPr>
                <w:rFonts w:asciiTheme="minorHAnsi" w:hAnsiTheme="minorHAnsi" w:cstheme="minorHAnsi"/>
                <w:b/>
                <w:sz w:val="19"/>
                <w:szCs w:val="19"/>
              </w:rPr>
              <w:t xml:space="preserve"> NOT applicable</w:t>
            </w:r>
            <w:r w:rsidRPr="00EA3785">
              <w:rPr>
                <w:rFonts w:asciiTheme="minorHAnsi" w:hAnsiTheme="minorHAnsi" w:cstheme="minorHAnsi"/>
                <w:b/>
                <w:sz w:val="19"/>
                <w:szCs w:val="19"/>
              </w:rPr>
              <w:tab/>
            </w:r>
          </w:p>
        </w:tc>
        <w:tc>
          <w:tcPr>
            <w:tcW w:w="8505" w:type="dxa"/>
          </w:tcPr>
          <w:p w14:paraId="1D6446A2" w14:textId="77777777" w:rsidR="00032543" w:rsidRPr="00E824C6" w:rsidRDefault="00E824C6" w:rsidP="00A42D39">
            <w:pPr>
              <w:pStyle w:val="ListParagraph"/>
              <w:numPr>
                <w:ilvl w:val="0"/>
                <w:numId w:val="25"/>
              </w:numPr>
              <w:rPr>
                <w:rFonts w:asciiTheme="minorHAnsi" w:hAnsiTheme="minorHAnsi" w:cstheme="minorHAnsi"/>
                <w:sz w:val="19"/>
                <w:szCs w:val="19"/>
              </w:rPr>
            </w:pPr>
            <w:r w:rsidRPr="00E824C6">
              <w:rPr>
                <w:rFonts w:asciiTheme="minorHAnsi" w:hAnsiTheme="minorHAnsi" w:cstheme="minorHAnsi"/>
                <w:sz w:val="19"/>
                <w:szCs w:val="19"/>
              </w:rPr>
              <w:t xml:space="preserve">All other areas </w:t>
            </w:r>
            <w:r>
              <w:rPr>
                <w:rFonts w:asciiTheme="minorHAnsi" w:hAnsiTheme="minorHAnsi" w:cstheme="minorHAnsi"/>
                <w:sz w:val="19"/>
                <w:szCs w:val="19"/>
              </w:rPr>
              <w:t>– local health district (</w:t>
            </w:r>
            <w:r w:rsidR="00032543" w:rsidRPr="00E824C6">
              <w:rPr>
                <w:rFonts w:asciiTheme="minorHAnsi" w:hAnsiTheme="minorHAnsi" w:cstheme="minorHAnsi"/>
                <w:sz w:val="19"/>
                <w:szCs w:val="19"/>
              </w:rPr>
              <w:t>LHD</w:t>
            </w:r>
            <w:r>
              <w:rPr>
                <w:rFonts w:asciiTheme="minorHAnsi" w:hAnsiTheme="minorHAnsi" w:cstheme="minorHAnsi"/>
                <w:sz w:val="19"/>
                <w:szCs w:val="19"/>
              </w:rPr>
              <w:t>) to determine</w:t>
            </w:r>
          </w:p>
          <w:p w14:paraId="2AF679A3" w14:textId="77777777" w:rsidR="00032543" w:rsidRPr="00E824C6" w:rsidRDefault="00032543" w:rsidP="00A42D39">
            <w:pPr>
              <w:pStyle w:val="ListParagraph"/>
              <w:numPr>
                <w:ilvl w:val="0"/>
                <w:numId w:val="25"/>
              </w:numPr>
              <w:rPr>
                <w:rFonts w:asciiTheme="minorHAnsi" w:hAnsiTheme="minorHAnsi" w:cstheme="minorHAnsi"/>
                <w:sz w:val="19"/>
                <w:szCs w:val="19"/>
              </w:rPr>
            </w:pPr>
            <w:r w:rsidRPr="00E824C6">
              <w:rPr>
                <w:rFonts w:asciiTheme="minorHAnsi" w:hAnsiTheme="minorHAnsi" w:cstheme="minorHAnsi"/>
                <w:sz w:val="19"/>
                <w:szCs w:val="19"/>
              </w:rPr>
              <w:t xml:space="preserve">Paediatrics, </w:t>
            </w:r>
            <w:r w:rsidR="00E824C6">
              <w:rPr>
                <w:rFonts w:asciiTheme="minorHAnsi" w:hAnsiTheme="minorHAnsi" w:cstheme="minorHAnsi"/>
                <w:sz w:val="19"/>
                <w:szCs w:val="19"/>
              </w:rPr>
              <w:t>&lt;</w:t>
            </w:r>
            <w:r w:rsidRPr="00E824C6">
              <w:rPr>
                <w:rFonts w:asciiTheme="minorHAnsi" w:hAnsiTheme="minorHAnsi" w:cstheme="minorHAnsi"/>
                <w:sz w:val="19"/>
                <w:szCs w:val="19"/>
              </w:rPr>
              <w:t>16 years of age</w:t>
            </w:r>
          </w:p>
          <w:p w14:paraId="4CA53250" w14:textId="77777777" w:rsidR="00E824C6" w:rsidRDefault="00E824C6" w:rsidP="00A42D39">
            <w:pPr>
              <w:rPr>
                <w:rFonts w:asciiTheme="minorHAnsi" w:hAnsiTheme="minorHAnsi" w:cstheme="minorHAnsi"/>
                <w:sz w:val="19"/>
                <w:szCs w:val="19"/>
              </w:rPr>
            </w:pPr>
          </w:p>
          <w:p w14:paraId="78880791" w14:textId="77777777" w:rsidR="00461510" w:rsidRPr="00EA3785" w:rsidRDefault="00032543" w:rsidP="00A42D39">
            <w:pPr>
              <w:rPr>
                <w:rFonts w:asciiTheme="minorHAnsi" w:hAnsiTheme="minorHAnsi" w:cstheme="minorHAnsi"/>
                <w:sz w:val="19"/>
                <w:szCs w:val="19"/>
              </w:rPr>
            </w:pPr>
            <w:r w:rsidRPr="00E824C6">
              <w:rPr>
                <w:rFonts w:asciiTheme="minorHAnsi" w:hAnsiTheme="minorHAnsi" w:cstheme="minorHAnsi"/>
                <w:sz w:val="19"/>
                <w:szCs w:val="19"/>
              </w:rPr>
              <w:t>Changes to this Standing Order must be approved by a radiologist or medical officer</w:t>
            </w:r>
            <w:r w:rsidR="00E824C6">
              <w:rPr>
                <w:rFonts w:asciiTheme="minorHAnsi" w:hAnsiTheme="minorHAnsi" w:cstheme="minorHAnsi"/>
                <w:sz w:val="19"/>
                <w:szCs w:val="19"/>
              </w:rPr>
              <w:t>.</w:t>
            </w:r>
          </w:p>
        </w:tc>
      </w:tr>
      <w:tr w:rsidR="00032543" w14:paraId="33350E92" w14:textId="77777777" w:rsidTr="00A42D39">
        <w:tc>
          <w:tcPr>
            <w:tcW w:w="1413" w:type="dxa"/>
          </w:tcPr>
          <w:p w14:paraId="671B9D96" w14:textId="77777777" w:rsidR="00032543" w:rsidRPr="00EA3785" w:rsidRDefault="00032543" w:rsidP="00A42D39">
            <w:pPr>
              <w:rPr>
                <w:rFonts w:asciiTheme="minorHAnsi" w:hAnsiTheme="minorHAnsi" w:cstheme="minorHAnsi"/>
                <w:b/>
                <w:sz w:val="19"/>
                <w:szCs w:val="19"/>
              </w:rPr>
            </w:pPr>
            <w:r w:rsidRPr="00EA3785">
              <w:rPr>
                <w:rFonts w:asciiTheme="minorHAnsi" w:hAnsiTheme="minorHAnsi" w:cstheme="minorHAnsi"/>
                <w:b/>
                <w:sz w:val="19"/>
                <w:szCs w:val="19"/>
              </w:rPr>
              <w:t>Authorised clinicians</w:t>
            </w:r>
          </w:p>
        </w:tc>
        <w:tc>
          <w:tcPr>
            <w:tcW w:w="8505" w:type="dxa"/>
          </w:tcPr>
          <w:p w14:paraId="29797A08" w14:textId="77777777" w:rsidR="00032543" w:rsidRPr="00EA3785" w:rsidRDefault="00032543" w:rsidP="00A42D39">
            <w:pPr>
              <w:rPr>
                <w:rFonts w:asciiTheme="minorHAnsi" w:hAnsiTheme="minorHAnsi" w:cstheme="minorHAnsi"/>
                <w:sz w:val="19"/>
                <w:szCs w:val="19"/>
              </w:rPr>
            </w:pPr>
            <w:r w:rsidRPr="00EA3785">
              <w:rPr>
                <w:rFonts w:asciiTheme="minorHAnsi" w:hAnsiTheme="minorHAnsi" w:cstheme="minorHAnsi"/>
                <w:sz w:val="19"/>
                <w:szCs w:val="19"/>
              </w:rPr>
              <w:t xml:space="preserve">Accreditation requirements apply to </w:t>
            </w:r>
            <w:r w:rsidR="004F64EC">
              <w:rPr>
                <w:rFonts w:asciiTheme="minorHAnsi" w:hAnsiTheme="minorHAnsi" w:cstheme="minorHAnsi"/>
                <w:sz w:val="19"/>
                <w:szCs w:val="19"/>
              </w:rPr>
              <w:t>m</w:t>
            </w:r>
            <w:r w:rsidRPr="00EA3785">
              <w:rPr>
                <w:rFonts w:asciiTheme="minorHAnsi" w:hAnsiTheme="minorHAnsi" w:cstheme="minorHAnsi"/>
                <w:sz w:val="19"/>
                <w:szCs w:val="19"/>
              </w:rPr>
              <w:t xml:space="preserve">edical </w:t>
            </w:r>
            <w:r w:rsidR="004F64EC">
              <w:rPr>
                <w:rFonts w:asciiTheme="minorHAnsi" w:hAnsiTheme="minorHAnsi" w:cstheme="minorHAnsi"/>
                <w:sz w:val="19"/>
                <w:szCs w:val="19"/>
              </w:rPr>
              <w:t>i</w:t>
            </w:r>
            <w:r w:rsidRPr="00EA3785">
              <w:rPr>
                <w:rFonts w:asciiTheme="minorHAnsi" w:hAnsiTheme="minorHAnsi" w:cstheme="minorHAnsi"/>
                <w:sz w:val="19"/>
                <w:szCs w:val="19"/>
              </w:rPr>
              <w:t>maging</w:t>
            </w:r>
            <w:r w:rsidR="00E824C6">
              <w:rPr>
                <w:rFonts w:asciiTheme="minorHAnsi" w:hAnsiTheme="minorHAnsi" w:cstheme="minorHAnsi"/>
                <w:sz w:val="19"/>
                <w:szCs w:val="19"/>
              </w:rPr>
              <w:t xml:space="preserve"> and </w:t>
            </w:r>
            <w:r w:rsidR="004F64EC">
              <w:rPr>
                <w:rFonts w:asciiTheme="minorHAnsi" w:hAnsiTheme="minorHAnsi" w:cstheme="minorHAnsi"/>
                <w:sz w:val="19"/>
                <w:szCs w:val="19"/>
              </w:rPr>
              <w:t>r</w:t>
            </w:r>
            <w:r w:rsidR="00E824C6">
              <w:rPr>
                <w:rFonts w:asciiTheme="minorHAnsi" w:hAnsiTheme="minorHAnsi" w:cstheme="minorHAnsi"/>
                <w:sz w:val="19"/>
                <w:szCs w:val="19"/>
              </w:rPr>
              <w:t xml:space="preserve">adiation </w:t>
            </w:r>
            <w:r w:rsidR="004F64EC">
              <w:rPr>
                <w:rFonts w:asciiTheme="minorHAnsi" w:hAnsiTheme="minorHAnsi" w:cstheme="minorHAnsi"/>
                <w:sz w:val="19"/>
                <w:szCs w:val="19"/>
              </w:rPr>
              <w:t>o</w:t>
            </w:r>
            <w:r w:rsidR="00E824C6">
              <w:rPr>
                <w:rFonts w:asciiTheme="minorHAnsi" w:hAnsiTheme="minorHAnsi" w:cstheme="minorHAnsi"/>
                <w:sz w:val="19"/>
                <w:szCs w:val="19"/>
              </w:rPr>
              <w:t xml:space="preserve">ncology </w:t>
            </w:r>
            <w:r w:rsidRPr="00EA3785">
              <w:rPr>
                <w:rFonts w:asciiTheme="minorHAnsi" w:hAnsiTheme="minorHAnsi" w:cstheme="minorHAnsi"/>
                <w:sz w:val="19"/>
                <w:szCs w:val="19"/>
              </w:rPr>
              <w:t>employed radiographers, nuclear medicine technologists, radiation therapists (i.e. medical radiation scientists) and registered nurses</w:t>
            </w:r>
            <w:r w:rsidR="00E824C6">
              <w:rPr>
                <w:rFonts w:asciiTheme="minorHAnsi" w:hAnsiTheme="minorHAnsi" w:cstheme="minorHAnsi"/>
                <w:sz w:val="19"/>
                <w:szCs w:val="19"/>
              </w:rPr>
              <w:t xml:space="preserve"> possessing:</w:t>
            </w:r>
          </w:p>
          <w:p w14:paraId="344B4605" w14:textId="77777777" w:rsidR="00032543" w:rsidRPr="00E824C6" w:rsidRDefault="00032543" w:rsidP="00A42D39">
            <w:pPr>
              <w:pStyle w:val="ListParagraph"/>
              <w:numPr>
                <w:ilvl w:val="0"/>
                <w:numId w:val="27"/>
              </w:numPr>
              <w:rPr>
                <w:rFonts w:cstheme="minorHAnsi"/>
                <w:sz w:val="19"/>
                <w:szCs w:val="19"/>
              </w:rPr>
            </w:pPr>
            <w:r w:rsidRPr="00E824C6">
              <w:rPr>
                <w:rFonts w:cstheme="minorHAnsi"/>
                <w:sz w:val="19"/>
                <w:szCs w:val="19"/>
              </w:rPr>
              <w:t xml:space="preserve">AHPRA registration requirements </w:t>
            </w:r>
          </w:p>
          <w:p w14:paraId="46CA01BC" w14:textId="77777777" w:rsidR="00032543" w:rsidRPr="00E824C6" w:rsidRDefault="00E824C6" w:rsidP="00A42D39">
            <w:pPr>
              <w:pStyle w:val="ListParagraph"/>
              <w:numPr>
                <w:ilvl w:val="0"/>
                <w:numId w:val="27"/>
              </w:numPr>
              <w:rPr>
                <w:rFonts w:cstheme="minorHAnsi"/>
                <w:sz w:val="19"/>
                <w:szCs w:val="19"/>
              </w:rPr>
            </w:pPr>
            <w:r>
              <w:rPr>
                <w:rFonts w:cstheme="minorHAnsi"/>
                <w:sz w:val="19"/>
                <w:szCs w:val="19"/>
              </w:rPr>
              <w:t>s</w:t>
            </w:r>
            <w:r w:rsidR="00032543" w:rsidRPr="00E824C6">
              <w:rPr>
                <w:rFonts w:cstheme="minorHAnsi"/>
                <w:sz w:val="19"/>
                <w:szCs w:val="19"/>
              </w:rPr>
              <w:t>uccessful completion of HETI My Health Learning education m</w:t>
            </w:r>
            <w:r>
              <w:rPr>
                <w:rFonts w:cstheme="minorHAnsi"/>
                <w:sz w:val="19"/>
                <w:szCs w:val="19"/>
              </w:rPr>
              <w:t>odule – Contrast Administration</w:t>
            </w:r>
            <w:r w:rsidR="00032543" w:rsidRPr="00E824C6">
              <w:rPr>
                <w:rFonts w:cstheme="minorHAnsi"/>
                <w:sz w:val="19"/>
                <w:szCs w:val="19"/>
              </w:rPr>
              <w:t xml:space="preserve"> </w:t>
            </w:r>
          </w:p>
          <w:p w14:paraId="4EB173EB" w14:textId="77777777" w:rsidR="00032543" w:rsidRPr="00E824C6" w:rsidRDefault="00E824C6" w:rsidP="00A42D39">
            <w:pPr>
              <w:pStyle w:val="ListParagraph"/>
              <w:numPr>
                <w:ilvl w:val="0"/>
                <w:numId w:val="27"/>
              </w:numPr>
              <w:rPr>
                <w:rFonts w:cstheme="minorHAnsi"/>
                <w:sz w:val="19"/>
                <w:szCs w:val="19"/>
              </w:rPr>
            </w:pPr>
            <w:r>
              <w:rPr>
                <w:rFonts w:cstheme="minorHAnsi"/>
                <w:sz w:val="19"/>
                <w:szCs w:val="19"/>
              </w:rPr>
              <w:t>s</w:t>
            </w:r>
            <w:r w:rsidR="00032543" w:rsidRPr="00E824C6">
              <w:rPr>
                <w:rFonts w:cstheme="minorHAnsi"/>
                <w:sz w:val="19"/>
                <w:szCs w:val="19"/>
              </w:rPr>
              <w:t>uccessful completion of HETI My Health Learning education module – Aseptic Technique</w:t>
            </w:r>
          </w:p>
          <w:p w14:paraId="08B8EA6C" w14:textId="77777777" w:rsidR="00032543" w:rsidRPr="00E824C6" w:rsidRDefault="00E824C6" w:rsidP="00A42D39">
            <w:pPr>
              <w:pStyle w:val="ListParagraph"/>
              <w:numPr>
                <w:ilvl w:val="0"/>
                <w:numId w:val="27"/>
              </w:numPr>
              <w:rPr>
                <w:rFonts w:cstheme="minorHAnsi"/>
                <w:sz w:val="19"/>
                <w:szCs w:val="19"/>
              </w:rPr>
            </w:pPr>
            <w:r>
              <w:rPr>
                <w:rFonts w:cstheme="minorHAnsi"/>
                <w:sz w:val="19"/>
                <w:szCs w:val="19"/>
              </w:rPr>
              <w:t>current b</w:t>
            </w:r>
            <w:r w:rsidR="00032543" w:rsidRPr="00E824C6">
              <w:rPr>
                <w:rFonts w:cstheme="minorHAnsi"/>
                <w:sz w:val="19"/>
                <w:szCs w:val="19"/>
              </w:rPr>
              <w:t xml:space="preserve">asic </w:t>
            </w:r>
            <w:r>
              <w:rPr>
                <w:rFonts w:cstheme="minorHAnsi"/>
                <w:sz w:val="19"/>
                <w:szCs w:val="19"/>
              </w:rPr>
              <w:t>life s</w:t>
            </w:r>
            <w:r w:rsidR="00032543" w:rsidRPr="00E824C6">
              <w:rPr>
                <w:rFonts w:cstheme="minorHAnsi"/>
                <w:sz w:val="19"/>
                <w:szCs w:val="19"/>
              </w:rPr>
              <w:t>upport accreditation</w:t>
            </w:r>
          </w:p>
          <w:p w14:paraId="3905E1DD" w14:textId="77777777" w:rsidR="00032543" w:rsidRPr="00EA3785" w:rsidRDefault="00032543" w:rsidP="00A42D39">
            <w:pPr>
              <w:rPr>
                <w:rFonts w:asciiTheme="minorHAnsi" w:hAnsiTheme="minorHAnsi" w:cstheme="minorHAnsi"/>
                <w:b/>
                <w:sz w:val="19"/>
                <w:szCs w:val="19"/>
              </w:rPr>
            </w:pPr>
            <w:r w:rsidRPr="00EA3785">
              <w:rPr>
                <w:rFonts w:asciiTheme="minorHAnsi" w:hAnsiTheme="minorHAnsi" w:cstheme="minorHAnsi"/>
                <w:b/>
                <w:sz w:val="19"/>
                <w:szCs w:val="19"/>
              </w:rPr>
              <w:t>AND</w:t>
            </w:r>
          </w:p>
          <w:p w14:paraId="31B6B0B4" w14:textId="77777777" w:rsidR="00032543" w:rsidRPr="00E824C6" w:rsidRDefault="009B318A" w:rsidP="00A42D39">
            <w:pPr>
              <w:pStyle w:val="ListParagraph"/>
              <w:numPr>
                <w:ilvl w:val="0"/>
                <w:numId w:val="28"/>
              </w:numPr>
              <w:rPr>
                <w:rFonts w:asciiTheme="minorHAnsi" w:hAnsiTheme="minorHAnsi" w:cstheme="minorHAnsi"/>
                <w:sz w:val="19"/>
                <w:szCs w:val="19"/>
              </w:rPr>
            </w:pPr>
            <w:r>
              <w:rPr>
                <w:rFonts w:asciiTheme="minorHAnsi" w:hAnsiTheme="minorHAnsi" w:cstheme="minorHAnsi"/>
                <w:sz w:val="19"/>
                <w:szCs w:val="19"/>
              </w:rPr>
              <w:t>Registered</w:t>
            </w:r>
            <w:r w:rsidR="00032543" w:rsidRPr="00E824C6">
              <w:rPr>
                <w:rFonts w:asciiTheme="minorHAnsi" w:hAnsiTheme="minorHAnsi" w:cstheme="minorHAnsi"/>
                <w:sz w:val="19"/>
                <w:szCs w:val="19"/>
              </w:rPr>
              <w:t xml:space="preserve"> nurses and medical radiation scientists assessed and deemed to be competent to administer and check IV contrast by the L</w:t>
            </w:r>
            <w:r w:rsidR="00E824C6">
              <w:rPr>
                <w:rFonts w:asciiTheme="minorHAnsi" w:hAnsiTheme="minorHAnsi" w:cstheme="minorHAnsi"/>
                <w:sz w:val="19"/>
                <w:szCs w:val="19"/>
              </w:rPr>
              <w:t>HD.</w:t>
            </w:r>
            <w:r w:rsidR="00032543" w:rsidRPr="00E824C6">
              <w:rPr>
                <w:rFonts w:asciiTheme="minorHAnsi" w:hAnsiTheme="minorHAnsi" w:cstheme="minorHAnsi"/>
                <w:sz w:val="19"/>
                <w:szCs w:val="19"/>
              </w:rPr>
              <w:t xml:space="preserve">   </w:t>
            </w:r>
          </w:p>
          <w:p w14:paraId="48A5C5ED" w14:textId="77777777" w:rsidR="00032543" w:rsidRPr="00EA3785" w:rsidRDefault="00032543" w:rsidP="00A42D39">
            <w:pPr>
              <w:autoSpaceDE w:val="0"/>
              <w:autoSpaceDN w:val="0"/>
              <w:adjustRightInd w:val="0"/>
              <w:rPr>
                <w:rFonts w:asciiTheme="minorHAnsi" w:hAnsiTheme="minorHAnsi" w:cstheme="minorHAnsi"/>
                <w:color w:val="000000"/>
                <w:sz w:val="19"/>
                <w:szCs w:val="19"/>
              </w:rPr>
            </w:pPr>
          </w:p>
          <w:p w14:paraId="1AA6FB74" w14:textId="77777777" w:rsidR="00032543" w:rsidRPr="00EA3785" w:rsidRDefault="00032543" w:rsidP="00A42D39">
            <w:pPr>
              <w:autoSpaceDE w:val="0"/>
              <w:autoSpaceDN w:val="0"/>
              <w:adjustRightInd w:val="0"/>
              <w:rPr>
                <w:rFonts w:asciiTheme="minorHAnsi" w:hAnsiTheme="minorHAnsi" w:cstheme="minorHAnsi"/>
                <w:i/>
                <w:sz w:val="19"/>
                <w:szCs w:val="19"/>
              </w:rPr>
            </w:pPr>
            <w:r w:rsidRPr="00EA3785">
              <w:rPr>
                <w:rFonts w:asciiTheme="minorHAnsi" w:hAnsiTheme="minorHAnsi" w:cstheme="minorHAnsi"/>
                <w:color w:val="000000"/>
                <w:sz w:val="19"/>
                <w:szCs w:val="19"/>
              </w:rPr>
              <w:t>In accordance with</w:t>
            </w:r>
            <w:r>
              <w:rPr>
                <w:rFonts w:asciiTheme="minorHAnsi" w:hAnsiTheme="minorHAnsi" w:cstheme="minorHAnsi"/>
                <w:color w:val="000000"/>
                <w:sz w:val="19"/>
                <w:szCs w:val="19"/>
              </w:rPr>
              <w:t xml:space="preserve"> </w:t>
            </w:r>
            <w:r w:rsidRPr="00E824C6">
              <w:rPr>
                <w:rFonts w:asciiTheme="minorHAnsi" w:hAnsiTheme="minorHAnsi" w:cstheme="minorHAnsi"/>
                <w:b/>
                <w:i/>
                <w:color w:val="000000"/>
                <w:sz w:val="19"/>
                <w:szCs w:val="19"/>
              </w:rPr>
              <w:t>PD2013_043</w:t>
            </w:r>
            <w:r w:rsidRPr="00EA3785">
              <w:rPr>
                <w:rFonts w:asciiTheme="minorHAnsi" w:hAnsiTheme="minorHAnsi" w:cstheme="minorHAnsi"/>
                <w:color w:val="000000"/>
                <w:sz w:val="19"/>
                <w:szCs w:val="19"/>
              </w:rPr>
              <w:t xml:space="preserve"> </w:t>
            </w:r>
            <w:r w:rsidRPr="00E824C6">
              <w:rPr>
                <w:rFonts w:asciiTheme="minorHAnsi" w:hAnsiTheme="minorHAnsi" w:cstheme="minorHAnsi"/>
                <w:b/>
                <w:bCs/>
                <w:i/>
                <w:color w:val="000000"/>
                <w:sz w:val="19"/>
                <w:szCs w:val="19"/>
              </w:rPr>
              <w:t>Medication Handling in NSW Public Health Facilities</w:t>
            </w:r>
            <w:r w:rsidR="0082757E" w:rsidRPr="0082757E">
              <w:rPr>
                <w:rFonts w:asciiTheme="minorHAnsi" w:hAnsiTheme="minorHAnsi" w:cstheme="minorHAnsi"/>
                <w:b/>
                <w:bCs/>
                <w:color w:val="000000"/>
                <w:sz w:val="19"/>
                <w:szCs w:val="19"/>
                <w:vertAlign w:val="superscript"/>
              </w:rPr>
              <w:t>1</w:t>
            </w:r>
            <w:r w:rsidR="0082757E">
              <w:rPr>
                <w:rFonts w:asciiTheme="minorHAnsi" w:hAnsiTheme="minorHAnsi" w:cstheme="minorHAnsi"/>
                <w:b/>
                <w:bCs/>
                <w:color w:val="000000"/>
                <w:sz w:val="19"/>
                <w:szCs w:val="19"/>
              </w:rPr>
              <w:t xml:space="preserve"> </w:t>
            </w:r>
            <w:r w:rsidRPr="00EA3785">
              <w:rPr>
                <w:rFonts w:asciiTheme="minorHAnsi" w:hAnsiTheme="minorHAnsi" w:cstheme="minorHAnsi"/>
                <w:color w:val="000000"/>
                <w:sz w:val="19"/>
                <w:szCs w:val="19"/>
              </w:rPr>
              <w:t>Section 7.4</w:t>
            </w:r>
            <w:r w:rsidRPr="00EA3785">
              <w:rPr>
                <w:rFonts w:asciiTheme="minorHAnsi" w:hAnsiTheme="minorHAnsi" w:cstheme="minorHAnsi"/>
                <w:sz w:val="19"/>
                <w:szCs w:val="19"/>
              </w:rPr>
              <w:t>:</w:t>
            </w:r>
            <w:r w:rsidR="00461510">
              <w:rPr>
                <w:rFonts w:asciiTheme="minorHAnsi" w:hAnsiTheme="minorHAnsi" w:cstheme="minorHAnsi"/>
                <w:sz w:val="19"/>
                <w:szCs w:val="19"/>
              </w:rPr>
              <w:t xml:space="preserve"> </w:t>
            </w:r>
            <w:r w:rsidRPr="00E824C6">
              <w:rPr>
                <w:rFonts w:asciiTheme="minorHAnsi" w:hAnsiTheme="minorHAnsi" w:cstheme="minorHAnsi"/>
                <w:sz w:val="19"/>
                <w:szCs w:val="19"/>
              </w:rPr>
              <w:t>“In the absence of an authorised prescriber, medication administration (or supply for administration where applicable) during routine procedures and under certain programs conducted at or by a facility may be carried out under a standing order.”</w:t>
            </w:r>
            <w:r w:rsidRPr="00EA3785">
              <w:rPr>
                <w:rFonts w:asciiTheme="minorHAnsi" w:hAnsiTheme="minorHAnsi" w:cstheme="minorHAnsi"/>
                <w:i/>
                <w:sz w:val="19"/>
                <w:szCs w:val="19"/>
              </w:rPr>
              <w:t xml:space="preserve"> </w:t>
            </w:r>
          </w:p>
          <w:p w14:paraId="13094944" w14:textId="77777777" w:rsidR="00032543" w:rsidRPr="00EA3785" w:rsidRDefault="00032543" w:rsidP="00A42D39">
            <w:pPr>
              <w:autoSpaceDE w:val="0"/>
              <w:autoSpaceDN w:val="0"/>
              <w:adjustRightInd w:val="0"/>
              <w:rPr>
                <w:rFonts w:asciiTheme="minorHAnsi" w:hAnsiTheme="minorHAnsi" w:cstheme="minorHAnsi"/>
                <w:i/>
                <w:sz w:val="19"/>
                <w:szCs w:val="19"/>
              </w:rPr>
            </w:pPr>
          </w:p>
          <w:p w14:paraId="664C6B0D" w14:textId="77777777" w:rsidR="00E824C6" w:rsidRDefault="00032543" w:rsidP="00A42D39">
            <w:pPr>
              <w:autoSpaceDE w:val="0"/>
              <w:autoSpaceDN w:val="0"/>
              <w:adjustRightInd w:val="0"/>
              <w:rPr>
                <w:rFonts w:asciiTheme="minorHAnsi" w:hAnsiTheme="minorHAnsi" w:cstheme="minorHAnsi"/>
                <w:i/>
                <w:sz w:val="19"/>
                <w:szCs w:val="19"/>
              </w:rPr>
            </w:pPr>
            <w:r w:rsidRPr="00EA3785">
              <w:rPr>
                <w:rFonts w:asciiTheme="minorHAnsi" w:hAnsiTheme="minorHAnsi" w:cstheme="minorHAnsi"/>
                <w:sz w:val="19"/>
                <w:szCs w:val="19"/>
              </w:rPr>
              <w:t xml:space="preserve">Section 7.1 </w:t>
            </w:r>
            <w:r w:rsidRPr="00EA3785">
              <w:rPr>
                <w:rFonts w:asciiTheme="minorHAnsi" w:hAnsiTheme="minorHAnsi" w:cstheme="minorHAnsi"/>
                <w:color w:val="000000"/>
                <w:sz w:val="19"/>
                <w:szCs w:val="19"/>
              </w:rPr>
              <w:t xml:space="preserve">PD2013_043 </w:t>
            </w:r>
            <w:r w:rsidRPr="00EA3785">
              <w:rPr>
                <w:rFonts w:asciiTheme="minorHAnsi" w:hAnsiTheme="minorHAnsi" w:cstheme="minorHAnsi"/>
                <w:sz w:val="19"/>
                <w:szCs w:val="19"/>
              </w:rPr>
              <w:t>outlines who can administer contrast media</w:t>
            </w:r>
            <w:r w:rsidR="00E824C6">
              <w:rPr>
                <w:rFonts w:asciiTheme="minorHAnsi" w:hAnsiTheme="minorHAnsi" w:cstheme="minorHAnsi"/>
                <w:sz w:val="19"/>
                <w:szCs w:val="19"/>
              </w:rPr>
              <w:t>:</w:t>
            </w:r>
          </w:p>
          <w:p w14:paraId="1CB3B827" w14:textId="77777777" w:rsidR="00032543" w:rsidRPr="00E824C6" w:rsidRDefault="00E824C6" w:rsidP="00A42D39">
            <w:pPr>
              <w:pStyle w:val="ListParagraph"/>
              <w:numPr>
                <w:ilvl w:val="0"/>
                <w:numId w:val="28"/>
              </w:numPr>
              <w:autoSpaceDE w:val="0"/>
              <w:autoSpaceDN w:val="0"/>
              <w:adjustRightInd w:val="0"/>
              <w:rPr>
                <w:rFonts w:eastAsia="MS Mincho" w:cs="Arial"/>
                <w:sz w:val="19"/>
                <w:szCs w:val="19"/>
              </w:rPr>
            </w:pPr>
            <w:r w:rsidRPr="00E824C6">
              <w:rPr>
                <w:rFonts w:asciiTheme="minorHAnsi" w:hAnsiTheme="minorHAnsi" w:cstheme="minorHAnsi"/>
                <w:sz w:val="19"/>
                <w:szCs w:val="19"/>
              </w:rPr>
              <w:t>R</w:t>
            </w:r>
            <w:r w:rsidR="00032543" w:rsidRPr="00E824C6">
              <w:rPr>
                <w:rFonts w:eastAsia="MS Mincho" w:cs="Arial"/>
                <w:sz w:val="19"/>
                <w:szCs w:val="19"/>
              </w:rPr>
              <w:t>egistered nurses, enrolled nurses (certified), but only in accordance with any practice conditions imposed by the person’s place of employment and the endorsements, notations and conditions on the person’s registration.</w:t>
            </w:r>
          </w:p>
          <w:p w14:paraId="35AC6F42" w14:textId="77777777" w:rsidR="00461510" w:rsidRPr="00A42D39" w:rsidRDefault="00032543" w:rsidP="00A42D39">
            <w:pPr>
              <w:pStyle w:val="ListParagraph"/>
              <w:numPr>
                <w:ilvl w:val="0"/>
                <w:numId w:val="28"/>
              </w:numPr>
              <w:autoSpaceDE w:val="0"/>
              <w:autoSpaceDN w:val="0"/>
              <w:adjustRightInd w:val="0"/>
              <w:rPr>
                <w:rFonts w:eastAsia="MS Mincho" w:cs="Arial"/>
                <w:sz w:val="19"/>
                <w:szCs w:val="19"/>
              </w:rPr>
            </w:pPr>
            <w:r w:rsidRPr="00E824C6">
              <w:rPr>
                <w:rFonts w:eastAsia="MS Mincho" w:cs="Arial"/>
                <w:sz w:val="19"/>
                <w:szCs w:val="19"/>
              </w:rPr>
              <w:t>Other appropriately trained and accredited staff members may be authorised to administer certain medications and/or diagnostics agents within their context of practice at the particular facility in accordance with local protocols. Examples (which include all</w:t>
            </w:r>
            <w:r w:rsidR="00E824C6" w:rsidRPr="00E824C6">
              <w:rPr>
                <w:rFonts w:eastAsia="MS Mincho" w:cs="Arial"/>
                <w:sz w:val="19"/>
                <w:szCs w:val="19"/>
              </w:rPr>
              <w:t>ied health professionals) are r</w:t>
            </w:r>
            <w:r w:rsidRPr="00E824C6">
              <w:rPr>
                <w:rFonts w:eastAsia="MS Mincho" w:cs="Arial"/>
                <w:sz w:val="19"/>
                <w:szCs w:val="19"/>
              </w:rPr>
              <w:t>adiographers (contrast)</w:t>
            </w:r>
            <w:r w:rsidR="00AF5593">
              <w:rPr>
                <w:rFonts w:eastAsia="MS Mincho" w:cs="Arial"/>
                <w:sz w:val="19"/>
                <w:szCs w:val="19"/>
              </w:rPr>
              <w:t xml:space="preserve"> and </w:t>
            </w:r>
            <w:r w:rsidR="00E824C6" w:rsidRPr="00E824C6">
              <w:rPr>
                <w:rFonts w:eastAsia="MS Mincho" w:cs="Arial"/>
                <w:sz w:val="19"/>
                <w:szCs w:val="19"/>
              </w:rPr>
              <w:t>n</w:t>
            </w:r>
            <w:r w:rsidRPr="00E824C6">
              <w:rPr>
                <w:rFonts w:eastAsia="MS Mincho" w:cs="Arial"/>
                <w:sz w:val="19"/>
                <w:szCs w:val="19"/>
              </w:rPr>
              <w:t>uclear medicine technologists (radiopharmaceuticals, contrast).</w:t>
            </w:r>
          </w:p>
        </w:tc>
      </w:tr>
      <w:tr w:rsidR="00032543" w14:paraId="40EDEB0B" w14:textId="77777777" w:rsidTr="00A42D39">
        <w:tc>
          <w:tcPr>
            <w:tcW w:w="1413" w:type="dxa"/>
          </w:tcPr>
          <w:p w14:paraId="157CB77B" w14:textId="77777777" w:rsidR="00032543" w:rsidRPr="00EA3785" w:rsidRDefault="00032543" w:rsidP="00A42D39">
            <w:pPr>
              <w:rPr>
                <w:rFonts w:asciiTheme="minorHAnsi" w:hAnsiTheme="minorHAnsi" w:cstheme="minorHAnsi"/>
                <w:b/>
                <w:sz w:val="19"/>
                <w:szCs w:val="19"/>
              </w:rPr>
            </w:pPr>
            <w:r w:rsidRPr="00EA3785">
              <w:rPr>
                <w:rFonts w:asciiTheme="minorHAnsi" w:hAnsiTheme="minorHAnsi" w:cstheme="minorHAnsi"/>
                <w:b/>
                <w:sz w:val="19"/>
                <w:szCs w:val="19"/>
              </w:rPr>
              <w:t>Order applies to</w:t>
            </w:r>
          </w:p>
        </w:tc>
        <w:tc>
          <w:tcPr>
            <w:tcW w:w="8505" w:type="dxa"/>
          </w:tcPr>
          <w:p w14:paraId="6C97A540" w14:textId="77777777" w:rsidR="00032543" w:rsidRDefault="00032543" w:rsidP="00A42D39">
            <w:pPr>
              <w:rPr>
                <w:rFonts w:asciiTheme="minorHAnsi" w:hAnsiTheme="minorHAnsi" w:cstheme="minorHAnsi"/>
                <w:sz w:val="19"/>
                <w:szCs w:val="19"/>
              </w:rPr>
            </w:pPr>
            <w:r w:rsidRPr="00EA3785">
              <w:rPr>
                <w:rFonts w:asciiTheme="minorHAnsi" w:hAnsiTheme="minorHAnsi" w:cstheme="minorHAnsi"/>
                <w:sz w:val="19"/>
                <w:szCs w:val="19"/>
              </w:rPr>
              <w:t>Suitable for adult patients (</w:t>
            </w:r>
            <w:r w:rsidR="00E824C6">
              <w:rPr>
                <w:rFonts w:asciiTheme="minorHAnsi" w:hAnsiTheme="minorHAnsi" w:cstheme="minorHAnsi"/>
                <w:sz w:val="19"/>
                <w:szCs w:val="19"/>
              </w:rPr>
              <w:t>≥16 years</w:t>
            </w:r>
            <w:r w:rsidRPr="00EA3785">
              <w:rPr>
                <w:rFonts w:asciiTheme="minorHAnsi" w:hAnsiTheme="minorHAnsi" w:cstheme="minorHAnsi"/>
                <w:sz w:val="19"/>
                <w:szCs w:val="19"/>
              </w:rPr>
              <w:t>) requiring intravenous contrast studies.</w:t>
            </w:r>
          </w:p>
          <w:p w14:paraId="10AB719A" w14:textId="77777777" w:rsidR="00E824C6" w:rsidRPr="00EA3785" w:rsidRDefault="00E824C6" w:rsidP="00A42D39">
            <w:pPr>
              <w:rPr>
                <w:rFonts w:asciiTheme="minorHAnsi" w:hAnsiTheme="minorHAnsi" w:cstheme="minorHAnsi"/>
                <w:sz w:val="19"/>
                <w:szCs w:val="19"/>
              </w:rPr>
            </w:pPr>
          </w:p>
          <w:p w14:paraId="1C31E369" w14:textId="77777777" w:rsidR="00461510" w:rsidRPr="00EA3785" w:rsidRDefault="00032543" w:rsidP="00A42D39">
            <w:pPr>
              <w:rPr>
                <w:rFonts w:asciiTheme="minorHAnsi" w:hAnsiTheme="minorHAnsi" w:cstheme="minorHAnsi"/>
                <w:sz w:val="19"/>
                <w:szCs w:val="19"/>
              </w:rPr>
            </w:pPr>
            <w:r w:rsidRPr="00EA3785">
              <w:rPr>
                <w:rFonts w:asciiTheme="minorHAnsi" w:hAnsiTheme="minorHAnsi" w:cstheme="minorHAnsi"/>
                <w:sz w:val="19"/>
                <w:szCs w:val="19"/>
              </w:rPr>
              <w:t xml:space="preserve">Where there is a </w:t>
            </w:r>
            <w:r w:rsidR="004F64EC">
              <w:rPr>
                <w:rFonts w:asciiTheme="minorHAnsi" w:hAnsiTheme="minorHAnsi" w:cstheme="minorHAnsi"/>
                <w:sz w:val="19"/>
                <w:szCs w:val="19"/>
              </w:rPr>
              <w:t>‘</w:t>
            </w:r>
            <w:r w:rsidRPr="00EA3785">
              <w:rPr>
                <w:rFonts w:asciiTheme="minorHAnsi" w:hAnsiTheme="minorHAnsi" w:cstheme="minorHAnsi"/>
                <w:sz w:val="19"/>
                <w:szCs w:val="19"/>
              </w:rPr>
              <w:t>red flag</w:t>
            </w:r>
            <w:r w:rsidR="004F64EC">
              <w:rPr>
                <w:rFonts w:asciiTheme="minorHAnsi" w:hAnsiTheme="minorHAnsi" w:cstheme="minorHAnsi"/>
                <w:sz w:val="19"/>
                <w:szCs w:val="19"/>
              </w:rPr>
              <w:t>’</w:t>
            </w:r>
            <w:r w:rsidRPr="00EA3785">
              <w:rPr>
                <w:rFonts w:asciiTheme="minorHAnsi" w:hAnsiTheme="minorHAnsi" w:cstheme="minorHAnsi"/>
                <w:sz w:val="19"/>
                <w:szCs w:val="19"/>
              </w:rPr>
              <w:t xml:space="preserve"> for one of the contraindications on the CT Contrast Administration </w:t>
            </w:r>
            <w:r w:rsidRPr="004C07A3">
              <w:rPr>
                <w:rFonts w:asciiTheme="minorHAnsi" w:hAnsiTheme="minorHAnsi" w:cstheme="minorHAnsi"/>
                <w:sz w:val="19"/>
                <w:szCs w:val="19"/>
              </w:rPr>
              <w:t>Checklist</w:t>
            </w:r>
            <w:r w:rsidR="00AF5593" w:rsidRPr="004C07A3">
              <w:rPr>
                <w:rFonts w:asciiTheme="minorHAnsi" w:hAnsiTheme="minorHAnsi" w:cstheme="minorHAnsi"/>
                <w:sz w:val="19"/>
                <w:szCs w:val="19"/>
              </w:rPr>
              <w:t xml:space="preserve"> (</w:t>
            </w:r>
            <w:r w:rsidR="00AF5593" w:rsidRPr="004C07A3">
              <w:rPr>
                <w:rFonts w:cs="Arial"/>
                <w:b/>
                <w:i/>
                <w:color w:val="004D6D" w:themeColor="accent1" w:themeShade="BF"/>
                <w:sz w:val="21"/>
                <w:szCs w:val="21"/>
              </w:rPr>
              <w:t>NSW State Form</w:t>
            </w:r>
            <w:r w:rsidR="0082757E">
              <w:rPr>
                <w:rFonts w:cs="Arial"/>
                <w:b/>
                <w:i/>
                <w:color w:val="004D6D" w:themeColor="accent1" w:themeShade="BF"/>
                <w:sz w:val="21"/>
                <w:szCs w:val="21"/>
              </w:rPr>
              <w:t xml:space="preserve"> </w:t>
            </w:r>
            <w:r w:rsidR="0082757E">
              <w:rPr>
                <w:b/>
              </w:rPr>
              <w:t>SMR060.</w:t>
            </w:r>
            <w:r w:rsidR="00A42D39">
              <w:rPr>
                <w:b/>
              </w:rPr>
              <w:t>160</w:t>
            </w:r>
            <w:r w:rsidR="00A42D39">
              <w:rPr>
                <w:rFonts w:cs="Arial"/>
                <w:i/>
                <w:sz w:val="21"/>
                <w:szCs w:val="21"/>
              </w:rPr>
              <w:t>)</w:t>
            </w:r>
            <w:r w:rsidR="00AF5593" w:rsidRPr="004C07A3">
              <w:rPr>
                <w:rFonts w:cs="Arial"/>
                <w:b/>
                <w:i/>
                <w:color w:val="004D6D" w:themeColor="accent1" w:themeShade="BF"/>
                <w:sz w:val="21"/>
                <w:szCs w:val="21"/>
              </w:rPr>
              <w:t>,</w:t>
            </w:r>
            <w:r w:rsidRPr="004C07A3">
              <w:rPr>
                <w:rFonts w:asciiTheme="minorHAnsi" w:hAnsiTheme="minorHAnsi" w:cstheme="minorHAnsi"/>
                <w:color w:val="004D6D" w:themeColor="accent1" w:themeShade="BF"/>
                <w:sz w:val="19"/>
                <w:szCs w:val="19"/>
              </w:rPr>
              <w:t xml:space="preserve"> </w:t>
            </w:r>
            <w:r w:rsidRPr="004C07A3">
              <w:rPr>
                <w:rFonts w:asciiTheme="minorHAnsi" w:hAnsiTheme="minorHAnsi" w:cstheme="minorHAnsi"/>
                <w:sz w:val="19"/>
                <w:szCs w:val="19"/>
              </w:rPr>
              <w:t>a</w:t>
            </w:r>
            <w:r w:rsidRPr="00EA3785">
              <w:rPr>
                <w:rFonts w:asciiTheme="minorHAnsi" w:hAnsiTheme="minorHAnsi" w:cstheme="minorHAnsi"/>
                <w:sz w:val="19"/>
                <w:szCs w:val="19"/>
              </w:rPr>
              <w:t xml:space="preserve"> radiologist or medical officer must personally prescribe the contrast agent.</w:t>
            </w:r>
            <w:r w:rsidR="006C4DC5">
              <w:rPr>
                <w:rFonts w:asciiTheme="minorHAnsi" w:hAnsiTheme="minorHAnsi" w:cstheme="minorHAnsi"/>
                <w:sz w:val="19"/>
                <w:szCs w:val="19"/>
              </w:rPr>
              <w:t xml:space="preserve"> Patients &lt;</w:t>
            </w:r>
            <w:r w:rsidRPr="00EA3785">
              <w:rPr>
                <w:rFonts w:asciiTheme="minorHAnsi" w:hAnsiTheme="minorHAnsi" w:cstheme="minorHAnsi"/>
                <w:sz w:val="19"/>
                <w:szCs w:val="19"/>
              </w:rPr>
              <w:t>16 years of age requires a written prescription and documentation by a radiologist or medical officer.</w:t>
            </w:r>
          </w:p>
        </w:tc>
      </w:tr>
    </w:tbl>
    <w:p w14:paraId="025ECBCF" w14:textId="77777777" w:rsidR="00A030AB" w:rsidRDefault="00A030AB"/>
    <w:tbl>
      <w:tblPr>
        <w:tblStyle w:val="TableGrid"/>
        <w:tblW w:w="9918" w:type="dxa"/>
        <w:tblInd w:w="-147" w:type="dxa"/>
        <w:tblLayout w:type="fixed"/>
        <w:tblCellMar>
          <w:top w:w="108" w:type="dxa"/>
          <w:bottom w:w="108" w:type="dxa"/>
        </w:tblCellMar>
        <w:tblLook w:val="04A0" w:firstRow="1" w:lastRow="0" w:firstColumn="1" w:lastColumn="0" w:noHBand="0" w:noVBand="1"/>
      </w:tblPr>
      <w:tblGrid>
        <w:gridCol w:w="1413"/>
        <w:gridCol w:w="8505"/>
      </w:tblGrid>
      <w:tr w:rsidR="00032543" w14:paraId="6CC94945" w14:textId="77777777" w:rsidTr="00A42D39">
        <w:tc>
          <w:tcPr>
            <w:tcW w:w="1413" w:type="dxa"/>
          </w:tcPr>
          <w:p w14:paraId="09BD6A44" w14:textId="77777777" w:rsidR="00032543" w:rsidRPr="00EA3785" w:rsidRDefault="00032543" w:rsidP="00A42D39">
            <w:pPr>
              <w:rPr>
                <w:rFonts w:asciiTheme="minorHAnsi" w:hAnsiTheme="minorHAnsi" w:cstheme="minorHAnsi"/>
                <w:b/>
                <w:sz w:val="19"/>
                <w:szCs w:val="19"/>
              </w:rPr>
            </w:pPr>
            <w:r w:rsidRPr="00EA3785">
              <w:rPr>
                <w:rFonts w:asciiTheme="minorHAnsi" w:hAnsiTheme="minorHAnsi" w:cstheme="minorHAnsi"/>
                <w:b/>
                <w:sz w:val="19"/>
                <w:szCs w:val="19"/>
              </w:rPr>
              <w:lastRenderedPageBreak/>
              <w:t>Indication</w:t>
            </w:r>
          </w:p>
        </w:tc>
        <w:tc>
          <w:tcPr>
            <w:tcW w:w="8505" w:type="dxa"/>
          </w:tcPr>
          <w:p w14:paraId="42A270AC" w14:textId="77777777" w:rsidR="00461510" w:rsidRPr="00384D80" w:rsidRDefault="00032543" w:rsidP="00A42D39">
            <w:pPr>
              <w:autoSpaceDE w:val="0"/>
              <w:autoSpaceDN w:val="0"/>
              <w:adjustRightInd w:val="0"/>
              <w:rPr>
                <w:rFonts w:asciiTheme="minorHAnsi" w:hAnsiTheme="minorHAnsi" w:cstheme="minorHAnsi"/>
                <w:sz w:val="19"/>
                <w:szCs w:val="19"/>
              </w:rPr>
            </w:pPr>
            <w:r w:rsidRPr="00EA3785">
              <w:rPr>
                <w:rFonts w:asciiTheme="minorHAnsi" w:hAnsiTheme="minorHAnsi" w:cstheme="minorHAnsi"/>
                <w:sz w:val="19"/>
                <w:szCs w:val="19"/>
              </w:rPr>
              <w:t>CT contrast media</w:t>
            </w:r>
            <w:r w:rsidRPr="00EA3785">
              <w:rPr>
                <w:rFonts w:asciiTheme="minorHAnsi" w:hAnsiTheme="minorHAnsi" w:cstheme="minorHAnsi"/>
                <w:color w:val="000000"/>
                <w:sz w:val="19"/>
                <w:szCs w:val="19"/>
              </w:rPr>
              <w:t xml:space="preserve"> </w:t>
            </w:r>
            <w:r w:rsidRPr="00EA3785">
              <w:rPr>
                <w:rFonts w:asciiTheme="minorHAnsi" w:hAnsiTheme="minorHAnsi" w:cstheme="minorHAnsi"/>
                <w:sz w:val="19"/>
                <w:szCs w:val="19"/>
              </w:rPr>
              <w:t>is a low osmolar iodinated contrast agent only indicated for contrast CT studies.</w:t>
            </w:r>
          </w:p>
        </w:tc>
      </w:tr>
      <w:tr w:rsidR="00032543" w14:paraId="5D8023C0" w14:textId="77777777" w:rsidTr="00384D80">
        <w:tblPrEx>
          <w:tblCellMar>
            <w:top w:w="85" w:type="dxa"/>
            <w:left w:w="85" w:type="dxa"/>
            <w:bottom w:w="85" w:type="dxa"/>
            <w:right w:w="85" w:type="dxa"/>
          </w:tblCellMar>
        </w:tblPrEx>
        <w:trPr>
          <w:trHeight w:val="2778"/>
        </w:trPr>
        <w:tc>
          <w:tcPr>
            <w:tcW w:w="1413" w:type="dxa"/>
          </w:tcPr>
          <w:p w14:paraId="010CC1F9" w14:textId="77777777" w:rsidR="00032543" w:rsidRPr="00EA3785" w:rsidRDefault="00032543" w:rsidP="00032543">
            <w:pPr>
              <w:rPr>
                <w:rFonts w:asciiTheme="minorHAnsi" w:hAnsiTheme="minorHAnsi" w:cstheme="minorHAnsi"/>
                <w:b/>
                <w:sz w:val="19"/>
                <w:szCs w:val="19"/>
              </w:rPr>
            </w:pPr>
            <w:r w:rsidRPr="00EA3785">
              <w:rPr>
                <w:rFonts w:asciiTheme="minorHAnsi" w:hAnsiTheme="minorHAnsi" w:cstheme="minorHAnsi"/>
                <w:b/>
                <w:sz w:val="19"/>
                <w:szCs w:val="19"/>
              </w:rPr>
              <w:t>Contra</w:t>
            </w:r>
            <w:r w:rsidR="00461510">
              <w:rPr>
                <w:rFonts w:asciiTheme="minorHAnsi" w:hAnsiTheme="minorHAnsi" w:cstheme="minorHAnsi"/>
                <w:b/>
                <w:sz w:val="19"/>
                <w:szCs w:val="19"/>
              </w:rPr>
              <w:t>-</w:t>
            </w:r>
            <w:r w:rsidRPr="00EA3785">
              <w:rPr>
                <w:rFonts w:asciiTheme="minorHAnsi" w:hAnsiTheme="minorHAnsi" w:cstheme="minorHAnsi"/>
                <w:b/>
                <w:sz w:val="19"/>
                <w:szCs w:val="19"/>
              </w:rPr>
              <w:t>indications</w:t>
            </w:r>
          </w:p>
        </w:tc>
        <w:tc>
          <w:tcPr>
            <w:tcW w:w="8505" w:type="dxa"/>
          </w:tcPr>
          <w:p w14:paraId="617A2221" w14:textId="77777777" w:rsidR="00032543" w:rsidRDefault="00032543" w:rsidP="00032543">
            <w:pPr>
              <w:autoSpaceDE w:val="0"/>
              <w:autoSpaceDN w:val="0"/>
              <w:adjustRightInd w:val="0"/>
              <w:rPr>
                <w:rFonts w:asciiTheme="minorHAnsi" w:hAnsiTheme="minorHAnsi" w:cstheme="minorHAnsi"/>
                <w:sz w:val="19"/>
                <w:szCs w:val="19"/>
              </w:rPr>
            </w:pPr>
            <w:r w:rsidRPr="00972FA4">
              <w:rPr>
                <w:rFonts w:asciiTheme="minorHAnsi" w:hAnsiTheme="minorHAnsi" w:cstheme="minorHAnsi"/>
                <w:sz w:val="19"/>
                <w:szCs w:val="19"/>
              </w:rPr>
              <w:t>&lt;CONTRAST MEDIA NAME&gt; (</w:t>
            </w:r>
            <w:proofErr w:type="spellStart"/>
            <w:r w:rsidRPr="00972FA4">
              <w:rPr>
                <w:rFonts w:asciiTheme="minorHAnsi" w:hAnsiTheme="minorHAnsi" w:cstheme="minorHAnsi"/>
                <w:sz w:val="19"/>
                <w:szCs w:val="19"/>
              </w:rPr>
              <w:t>iohexol</w:t>
            </w:r>
            <w:proofErr w:type="spellEnd"/>
            <w:r w:rsidRPr="00972FA4">
              <w:rPr>
                <w:rFonts w:asciiTheme="minorHAnsi" w:hAnsiTheme="minorHAnsi" w:cstheme="minorHAnsi"/>
                <w:sz w:val="19"/>
                <w:szCs w:val="19"/>
              </w:rPr>
              <w:t xml:space="preserve">) must not be administered under this </w:t>
            </w:r>
            <w:r w:rsidR="00A85ACA">
              <w:rPr>
                <w:rFonts w:asciiTheme="minorHAnsi" w:hAnsiTheme="minorHAnsi" w:cstheme="minorHAnsi"/>
                <w:sz w:val="19"/>
                <w:szCs w:val="19"/>
              </w:rPr>
              <w:t>S</w:t>
            </w:r>
            <w:r w:rsidRPr="00972FA4">
              <w:rPr>
                <w:rFonts w:asciiTheme="minorHAnsi" w:hAnsiTheme="minorHAnsi" w:cstheme="minorHAnsi"/>
                <w:sz w:val="19"/>
                <w:szCs w:val="19"/>
              </w:rPr>
              <w:t xml:space="preserve">tanding </w:t>
            </w:r>
            <w:r w:rsidR="00A85ACA">
              <w:rPr>
                <w:rFonts w:asciiTheme="minorHAnsi" w:hAnsiTheme="minorHAnsi" w:cstheme="minorHAnsi"/>
                <w:sz w:val="19"/>
                <w:szCs w:val="19"/>
              </w:rPr>
              <w:t>O</w:t>
            </w:r>
            <w:r w:rsidRPr="00972FA4">
              <w:rPr>
                <w:rFonts w:asciiTheme="minorHAnsi" w:hAnsiTheme="minorHAnsi" w:cstheme="minorHAnsi"/>
                <w:sz w:val="19"/>
                <w:szCs w:val="19"/>
              </w:rPr>
              <w:t>rder to patients with known significant hypersensitivity or previous reaction to iodinated contrast media.</w:t>
            </w:r>
          </w:p>
          <w:p w14:paraId="257C406E" w14:textId="77777777" w:rsidR="006C4DC5" w:rsidRPr="00972FA4" w:rsidRDefault="006C4DC5" w:rsidP="00032543">
            <w:pPr>
              <w:autoSpaceDE w:val="0"/>
              <w:autoSpaceDN w:val="0"/>
              <w:adjustRightInd w:val="0"/>
              <w:rPr>
                <w:rFonts w:asciiTheme="minorHAnsi" w:hAnsiTheme="minorHAnsi" w:cstheme="minorHAnsi"/>
                <w:sz w:val="19"/>
                <w:szCs w:val="19"/>
              </w:rPr>
            </w:pPr>
          </w:p>
          <w:p w14:paraId="2AC0853E" w14:textId="77777777" w:rsidR="00F93F6C" w:rsidRPr="00F93F6C" w:rsidRDefault="00F93F6C" w:rsidP="00F93F6C">
            <w:pPr>
              <w:autoSpaceDE w:val="0"/>
              <w:autoSpaceDN w:val="0"/>
              <w:rPr>
                <w:rFonts w:cs="Arial"/>
                <w:sz w:val="19"/>
                <w:szCs w:val="19"/>
                <w:lang w:val="en-GB"/>
              </w:rPr>
            </w:pPr>
            <w:r w:rsidRPr="00F93F6C">
              <w:rPr>
                <w:rFonts w:cs="Arial"/>
                <w:sz w:val="19"/>
                <w:szCs w:val="19"/>
                <w:lang w:val="en-GB"/>
              </w:rPr>
              <w:t xml:space="preserve">If a “red flag” is confirmed in the CT Contrast Administration Checklist (NSW State Form </w:t>
            </w:r>
            <w:r w:rsidRPr="00F93F6C">
              <w:rPr>
                <w:rFonts w:cs="Arial"/>
                <w:b/>
                <w:bCs/>
                <w:sz w:val="19"/>
                <w:szCs w:val="19"/>
                <w:lang w:val="en-GB"/>
              </w:rPr>
              <w:t>SMR060.160,</w:t>
            </w:r>
            <w:r w:rsidRPr="00F93F6C">
              <w:rPr>
                <w:rFonts w:cs="Arial"/>
                <w:i/>
                <w:iCs/>
                <w:sz w:val="19"/>
                <w:szCs w:val="19"/>
                <w:lang w:val="en-GB"/>
              </w:rPr>
              <w:t xml:space="preserve"> </w:t>
            </w:r>
            <w:r w:rsidRPr="00F93F6C">
              <w:rPr>
                <w:rFonts w:cs="Arial"/>
                <w:sz w:val="19"/>
                <w:szCs w:val="19"/>
                <w:lang w:val="en-GB"/>
              </w:rPr>
              <w:t xml:space="preserve">a Radiologist / Medical Officer must be consulted, and his / her approval obtained prior to continuing </w:t>
            </w:r>
            <w:r w:rsidRPr="00F93F6C">
              <w:rPr>
                <w:rFonts w:cs="Arial"/>
                <w:color w:val="000000"/>
                <w:sz w:val="19"/>
                <w:szCs w:val="19"/>
                <w:lang w:val="en-GB"/>
              </w:rPr>
              <w:t>in order to ensure the validity of the Standing Order.</w:t>
            </w:r>
          </w:p>
          <w:p w14:paraId="36C467BA" w14:textId="77777777" w:rsidR="004507DF" w:rsidRPr="004F64EC" w:rsidRDefault="004507DF" w:rsidP="00EF7978">
            <w:pPr>
              <w:autoSpaceDE w:val="0"/>
              <w:autoSpaceDN w:val="0"/>
              <w:adjustRightInd w:val="0"/>
              <w:rPr>
                <w:rFonts w:cs="Arial"/>
                <w:sz w:val="19"/>
                <w:szCs w:val="19"/>
              </w:rPr>
            </w:pPr>
          </w:p>
          <w:p w14:paraId="27CC19FF" w14:textId="77777777" w:rsidR="00032543" w:rsidRPr="004F64EC" w:rsidRDefault="00CD2DDC" w:rsidP="00EF7978">
            <w:pPr>
              <w:autoSpaceDE w:val="0"/>
              <w:autoSpaceDN w:val="0"/>
              <w:adjustRightInd w:val="0"/>
              <w:rPr>
                <w:rFonts w:cs="Arial"/>
                <w:b/>
                <w:sz w:val="19"/>
                <w:szCs w:val="19"/>
              </w:rPr>
            </w:pPr>
            <w:r w:rsidRPr="004F64EC">
              <w:rPr>
                <w:rFonts w:cs="Arial"/>
                <w:b/>
                <w:sz w:val="19"/>
                <w:szCs w:val="19"/>
              </w:rPr>
              <w:t>Contrast Induced</w:t>
            </w:r>
            <w:r w:rsidR="004F64EC">
              <w:rPr>
                <w:rFonts w:cs="Arial"/>
                <w:b/>
                <w:sz w:val="19"/>
                <w:szCs w:val="19"/>
              </w:rPr>
              <w:t xml:space="preserve"> </w:t>
            </w:r>
            <w:r w:rsidRPr="004F64EC">
              <w:rPr>
                <w:rFonts w:cs="Arial"/>
                <w:b/>
                <w:sz w:val="19"/>
                <w:szCs w:val="19"/>
              </w:rPr>
              <w:t xml:space="preserve">- Acute Kidney </w:t>
            </w:r>
            <w:r w:rsidR="00A42D39" w:rsidRPr="004F64EC">
              <w:rPr>
                <w:rFonts w:cs="Arial"/>
                <w:b/>
                <w:sz w:val="19"/>
                <w:szCs w:val="19"/>
              </w:rPr>
              <w:t>Injury (</w:t>
            </w:r>
            <w:r w:rsidR="00DF6CB4" w:rsidRPr="004F64EC">
              <w:rPr>
                <w:rFonts w:cs="Arial"/>
                <w:b/>
                <w:sz w:val="19"/>
                <w:szCs w:val="19"/>
              </w:rPr>
              <w:t>CI-AKI)</w:t>
            </w:r>
          </w:p>
          <w:p w14:paraId="5C0E13CB" w14:textId="77777777" w:rsidR="00CD2DDC" w:rsidRPr="00F93F6C" w:rsidRDefault="00CD2DDC" w:rsidP="00CD2DDC">
            <w:pPr>
              <w:autoSpaceDE w:val="0"/>
              <w:autoSpaceDN w:val="0"/>
              <w:adjustRightInd w:val="0"/>
              <w:rPr>
                <w:rFonts w:cs="Arial"/>
                <w:sz w:val="19"/>
                <w:szCs w:val="19"/>
                <w:shd w:val="clear" w:color="auto" w:fill="FFFFFF"/>
              </w:rPr>
            </w:pPr>
            <w:r w:rsidRPr="00F93F6C">
              <w:rPr>
                <w:rFonts w:cs="Arial"/>
                <w:sz w:val="19"/>
                <w:szCs w:val="19"/>
                <w:shd w:val="clear" w:color="auto" w:fill="FFFFFF"/>
              </w:rPr>
              <w:t>The risk of CI-AKI remains uncertain for patients with an eGFR of less than 45mL/min/1.73m</w:t>
            </w:r>
            <w:r w:rsidRPr="00F93F6C">
              <w:rPr>
                <w:rFonts w:cs="Arial"/>
                <w:sz w:val="19"/>
                <w:szCs w:val="19"/>
                <w:shd w:val="clear" w:color="auto" w:fill="FFFFFF"/>
                <w:vertAlign w:val="subscript"/>
              </w:rPr>
              <w:t xml:space="preserve">2. </w:t>
            </w:r>
            <w:r w:rsidRPr="00F93F6C">
              <w:rPr>
                <w:rFonts w:cs="Arial"/>
                <w:sz w:val="19"/>
                <w:szCs w:val="19"/>
                <w:shd w:val="clear" w:color="auto" w:fill="FFFFFF"/>
              </w:rPr>
              <w:t>(RANZCR,</w:t>
            </w:r>
            <w:r w:rsidR="00EF7978" w:rsidRPr="00F93F6C">
              <w:rPr>
                <w:rFonts w:cs="Arial"/>
                <w:b/>
                <w:i/>
                <w:sz w:val="19"/>
                <w:szCs w:val="19"/>
              </w:rPr>
              <w:t xml:space="preserve"> Iodinated Contrast Media Guideline,</w:t>
            </w:r>
            <w:r w:rsidRPr="00F93F6C">
              <w:rPr>
                <w:rFonts w:cs="Arial"/>
                <w:sz w:val="19"/>
                <w:szCs w:val="19"/>
                <w:shd w:val="clear" w:color="auto" w:fill="FFFFFF"/>
              </w:rPr>
              <w:t xml:space="preserve"> 2018)</w:t>
            </w:r>
            <w:r w:rsidR="00932B8E" w:rsidRPr="00F93F6C">
              <w:rPr>
                <w:rFonts w:cs="Arial"/>
                <w:sz w:val="19"/>
                <w:szCs w:val="19"/>
                <w:shd w:val="clear" w:color="auto" w:fill="FFFFFF"/>
                <w:vertAlign w:val="superscript"/>
              </w:rPr>
              <w:t>3</w:t>
            </w:r>
            <w:r w:rsidRPr="00F93F6C">
              <w:rPr>
                <w:rFonts w:cs="Arial"/>
                <w:sz w:val="19"/>
                <w:szCs w:val="19"/>
                <w:shd w:val="clear" w:color="auto" w:fill="FFFFFF"/>
              </w:rPr>
              <w:t xml:space="preserve">. </w:t>
            </w:r>
            <w:r w:rsidRPr="00F93F6C">
              <w:rPr>
                <w:rFonts w:cs="Arial"/>
                <w:sz w:val="19"/>
                <w:szCs w:val="19"/>
                <w:shd w:val="clear" w:color="auto" w:fill="FFFFFF"/>
                <w:vertAlign w:val="subscript"/>
              </w:rPr>
              <w:t xml:space="preserve"> </w:t>
            </w:r>
            <w:r w:rsidRPr="00F93F6C">
              <w:rPr>
                <w:rFonts w:cs="Arial"/>
                <w:sz w:val="19"/>
                <w:szCs w:val="19"/>
                <w:shd w:val="clear" w:color="auto" w:fill="FFFFFF"/>
              </w:rPr>
              <w:t>In patients with no risk factors and eGFR &gt;60mL/min the risk for CIN</w:t>
            </w:r>
            <w:r w:rsidR="00DF6CB4" w:rsidRPr="00F93F6C">
              <w:rPr>
                <w:rFonts w:cs="Arial"/>
                <w:sz w:val="19"/>
                <w:szCs w:val="19"/>
                <w:shd w:val="clear" w:color="auto" w:fill="FFFFFF"/>
              </w:rPr>
              <w:t xml:space="preserve"> (Contrast Induced Nephropathy)</w:t>
            </w:r>
            <w:r w:rsidRPr="00F93F6C">
              <w:rPr>
                <w:rFonts w:cs="Arial"/>
                <w:sz w:val="19"/>
                <w:szCs w:val="19"/>
                <w:shd w:val="clear" w:color="auto" w:fill="FFFFFF"/>
              </w:rPr>
              <w:t xml:space="preserve"> is negligible. While there are multiple risk factors identified in the literature</w:t>
            </w:r>
            <w:r w:rsidR="00AD4899" w:rsidRPr="00F93F6C">
              <w:rPr>
                <w:rFonts w:cs="Arial"/>
                <w:sz w:val="19"/>
                <w:szCs w:val="19"/>
                <w:shd w:val="clear" w:color="auto" w:fill="FFFFFF"/>
                <w:vertAlign w:val="superscript"/>
              </w:rPr>
              <w:t>6</w:t>
            </w:r>
            <w:r w:rsidRPr="00F93F6C">
              <w:rPr>
                <w:rFonts w:cs="Arial"/>
                <w:sz w:val="19"/>
                <w:szCs w:val="19"/>
                <w:shd w:val="clear" w:color="auto" w:fill="FFFFFF"/>
              </w:rPr>
              <w:t>, the most important risk factor is pre-existing severe renal insufficiency (ACR,</w:t>
            </w:r>
            <w:r w:rsidR="00EF7978" w:rsidRPr="00F93F6C">
              <w:rPr>
                <w:rFonts w:cs="Arial"/>
                <w:b/>
                <w:i/>
                <w:sz w:val="19"/>
                <w:szCs w:val="19"/>
              </w:rPr>
              <w:t xml:space="preserve"> Manual on Contrast Media</w:t>
            </w:r>
            <w:r w:rsidRPr="00F93F6C">
              <w:rPr>
                <w:rFonts w:cs="Arial"/>
                <w:sz w:val="19"/>
                <w:szCs w:val="19"/>
                <w:shd w:val="clear" w:color="auto" w:fill="FFFFFF"/>
              </w:rPr>
              <w:t xml:space="preserve"> 2018)</w:t>
            </w:r>
            <w:r w:rsidR="005E3E72" w:rsidRPr="00F93F6C">
              <w:rPr>
                <w:rFonts w:cs="Arial"/>
                <w:sz w:val="19"/>
                <w:szCs w:val="19"/>
                <w:shd w:val="clear" w:color="auto" w:fill="FFFFFF"/>
                <w:vertAlign w:val="superscript"/>
              </w:rPr>
              <w:t>2</w:t>
            </w:r>
            <w:r w:rsidRPr="00F93F6C">
              <w:rPr>
                <w:rFonts w:cs="Arial"/>
                <w:sz w:val="19"/>
                <w:szCs w:val="19"/>
                <w:shd w:val="clear" w:color="auto" w:fill="FFFFFF"/>
              </w:rPr>
              <w:t>.</w:t>
            </w:r>
          </w:p>
          <w:p w14:paraId="231A2984" w14:textId="77777777" w:rsidR="00CD2DDC" w:rsidRPr="004C07A3" w:rsidRDefault="00CD2DDC" w:rsidP="00032543">
            <w:pPr>
              <w:tabs>
                <w:tab w:val="left" w:pos="407"/>
              </w:tabs>
              <w:autoSpaceDE w:val="0"/>
              <w:autoSpaceDN w:val="0"/>
              <w:adjustRightInd w:val="0"/>
              <w:rPr>
                <w:rFonts w:asciiTheme="minorHAnsi" w:hAnsiTheme="minorHAnsi" w:cstheme="minorHAnsi"/>
                <w:b/>
                <w:sz w:val="19"/>
                <w:szCs w:val="19"/>
                <w:u w:val="single"/>
              </w:rPr>
            </w:pPr>
          </w:p>
          <w:p w14:paraId="3DB76D78" w14:textId="77777777" w:rsidR="00032543" w:rsidRPr="004B06A9" w:rsidRDefault="0082757E" w:rsidP="004B06A9">
            <w:pPr>
              <w:autoSpaceDE w:val="0"/>
              <w:autoSpaceDN w:val="0"/>
              <w:adjustRightInd w:val="0"/>
              <w:rPr>
                <w:b/>
                <w:i/>
                <w:sz w:val="16"/>
                <w:szCs w:val="19"/>
              </w:rPr>
            </w:pPr>
            <w:r>
              <w:rPr>
                <w:rFonts w:asciiTheme="minorHAnsi" w:hAnsiTheme="minorHAnsi" w:cstheme="minorHAnsi"/>
                <w:b/>
                <w:sz w:val="19"/>
                <w:szCs w:val="19"/>
              </w:rPr>
              <w:t xml:space="preserve">Table 1  </w:t>
            </w:r>
            <w:r w:rsidR="00032543" w:rsidRPr="004C07A3">
              <w:rPr>
                <w:rFonts w:asciiTheme="minorHAnsi" w:hAnsiTheme="minorHAnsi" w:cstheme="minorHAnsi"/>
                <w:b/>
                <w:sz w:val="19"/>
                <w:szCs w:val="19"/>
              </w:rPr>
              <w:t>Risk levels for eGFR</w:t>
            </w:r>
            <w:r w:rsidR="00AB07D4" w:rsidRPr="004C07A3">
              <w:rPr>
                <w:rFonts w:asciiTheme="minorHAnsi" w:hAnsiTheme="minorHAnsi" w:cstheme="minorHAnsi"/>
                <w:b/>
                <w:sz w:val="19"/>
                <w:szCs w:val="19"/>
              </w:rPr>
              <w:t xml:space="preserve"> (estimated Glomerular Filtration Rate</w:t>
            </w:r>
            <w:r w:rsidR="000E0569">
              <w:rPr>
                <w:rFonts w:asciiTheme="minorHAnsi" w:hAnsiTheme="minorHAnsi" w:cstheme="minorHAnsi"/>
                <w:b/>
                <w:sz w:val="19"/>
                <w:szCs w:val="19"/>
              </w:rPr>
              <w:t>)</w:t>
            </w:r>
            <w:r w:rsidR="00932B8E">
              <w:rPr>
                <w:rFonts w:asciiTheme="minorHAnsi" w:hAnsiTheme="minorHAnsi" w:cstheme="minorHAnsi"/>
                <w:b/>
                <w:sz w:val="19"/>
                <w:szCs w:val="19"/>
              </w:rPr>
              <w:t>*</w:t>
            </w:r>
          </w:p>
          <w:tbl>
            <w:tblPr>
              <w:tblStyle w:val="TableGrid"/>
              <w:tblW w:w="0" w:type="auto"/>
              <w:tblInd w:w="35" w:type="dxa"/>
              <w:tblLayout w:type="fixed"/>
              <w:tblLook w:val="04A0" w:firstRow="1" w:lastRow="0" w:firstColumn="1" w:lastColumn="0" w:noHBand="0" w:noVBand="1"/>
            </w:tblPr>
            <w:tblGrid>
              <w:gridCol w:w="2214"/>
              <w:gridCol w:w="2268"/>
            </w:tblGrid>
            <w:tr w:rsidR="00032543" w:rsidRPr="004C07A3" w14:paraId="2EA09108" w14:textId="77777777" w:rsidTr="00384D80">
              <w:tc>
                <w:tcPr>
                  <w:tcW w:w="2214" w:type="dxa"/>
                  <w:shd w:val="clear" w:color="auto" w:fill="F2F2F2" w:themeFill="background1" w:themeFillShade="F2"/>
                </w:tcPr>
                <w:p w14:paraId="40EF5721" w14:textId="77777777" w:rsidR="00032543" w:rsidRPr="004C07A3" w:rsidRDefault="006C4DC5" w:rsidP="00032543">
                  <w:pPr>
                    <w:autoSpaceDE w:val="0"/>
                    <w:autoSpaceDN w:val="0"/>
                    <w:adjustRightInd w:val="0"/>
                    <w:rPr>
                      <w:rFonts w:asciiTheme="minorHAnsi" w:hAnsiTheme="minorHAnsi" w:cstheme="minorHAnsi"/>
                      <w:b/>
                      <w:sz w:val="19"/>
                      <w:szCs w:val="19"/>
                    </w:rPr>
                  </w:pPr>
                  <w:r w:rsidRPr="004C07A3">
                    <w:rPr>
                      <w:rFonts w:asciiTheme="minorHAnsi" w:hAnsiTheme="minorHAnsi" w:cstheme="minorHAnsi"/>
                      <w:b/>
                      <w:sz w:val="19"/>
                      <w:szCs w:val="19"/>
                    </w:rPr>
                    <w:t>eGFR</w:t>
                  </w:r>
                </w:p>
              </w:tc>
              <w:tc>
                <w:tcPr>
                  <w:tcW w:w="2268" w:type="dxa"/>
                  <w:shd w:val="clear" w:color="auto" w:fill="F2F2F2" w:themeFill="background1" w:themeFillShade="F2"/>
                </w:tcPr>
                <w:p w14:paraId="38EE7238" w14:textId="77777777" w:rsidR="00032543" w:rsidRPr="004C07A3" w:rsidRDefault="00A85ACA" w:rsidP="00032543">
                  <w:pPr>
                    <w:autoSpaceDE w:val="0"/>
                    <w:autoSpaceDN w:val="0"/>
                    <w:adjustRightInd w:val="0"/>
                    <w:rPr>
                      <w:rFonts w:asciiTheme="minorHAnsi" w:hAnsiTheme="minorHAnsi" w:cstheme="minorHAnsi"/>
                      <w:b/>
                      <w:sz w:val="19"/>
                      <w:szCs w:val="19"/>
                    </w:rPr>
                  </w:pPr>
                  <w:r w:rsidRPr="004C07A3">
                    <w:rPr>
                      <w:rFonts w:asciiTheme="minorHAnsi" w:hAnsiTheme="minorHAnsi" w:cstheme="minorHAnsi"/>
                      <w:b/>
                      <w:sz w:val="19"/>
                      <w:szCs w:val="19"/>
                    </w:rPr>
                    <w:t xml:space="preserve">CIN </w:t>
                  </w:r>
                  <w:r w:rsidR="006C4DC5" w:rsidRPr="004C07A3">
                    <w:rPr>
                      <w:rFonts w:asciiTheme="minorHAnsi" w:hAnsiTheme="minorHAnsi" w:cstheme="minorHAnsi"/>
                      <w:b/>
                      <w:sz w:val="19"/>
                      <w:szCs w:val="19"/>
                    </w:rPr>
                    <w:t>Risk</w:t>
                  </w:r>
                </w:p>
              </w:tc>
            </w:tr>
            <w:tr w:rsidR="00A85ACA" w:rsidRPr="004C07A3" w14:paraId="1A556DDE" w14:textId="77777777" w:rsidTr="00384D80">
              <w:tc>
                <w:tcPr>
                  <w:tcW w:w="2214" w:type="dxa"/>
                  <w:shd w:val="clear" w:color="auto" w:fill="F2F2F2" w:themeFill="background1" w:themeFillShade="F2"/>
                </w:tcPr>
                <w:p w14:paraId="60E8ACB5" w14:textId="77777777" w:rsidR="00A85ACA" w:rsidRPr="004C07A3" w:rsidRDefault="00A85ACA" w:rsidP="00032543">
                  <w:pPr>
                    <w:autoSpaceDE w:val="0"/>
                    <w:autoSpaceDN w:val="0"/>
                    <w:adjustRightInd w:val="0"/>
                    <w:rPr>
                      <w:rFonts w:asciiTheme="minorHAnsi" w:hAnsiTheme="minorHAnsi" w:cstheme="minorHAnsi"/>
                      <w:b/>
                      <w:sz w:val="19"/>
                      <w:szCs w:val="19"/>
                    </w:rPr>
                  </w:pPr>
                  <w:r w:rsidRPr="004C07A3">
                    <w:rPr>
                      <w:rFonts w:ascii="Helvetica" w:hAnsi="Helvetica"/>
                      <w:sz w:val="19"/>
                      <w:szCs w:val="19"/>
                      <w:shd w:val="clear" w:color="auto" w:fill="FFFFFF"/>
                    </w:rPr>
                    <w:t>&gt;60mL/min</w:t>
                  </w:r>
                  <w:r w:rsidR="009C7DD7" w:rsidRPr="004C07A3">
                    <w:rPr>
                      <w:rFonts w:ascii="Helvetica" w:hAnsi="Helvetica"/>
                      <w:sz w:val="19"/>
                      <w:szCs w:val="19"/>
                      <w:shd w:val="clear" w:color="auto" w:fill="FFFFFF"/>
                    </w:rPr>
                    <w:t>/1.73m</w:t>
                  </w:r>
                  <w:r w:rsidR="009C7DD7" w:rsidRPr="004C07A3">
                    <w:rPr>
                      <w:rFonts w:ascii="Helvetica" w:hAnsi="Helvetica"/>
                      <w:sz w:val="19"/>
                      <w:szCs w:val="19"/>
                      <w:shd w:val="clear" w:color="auto" w:fill="FFFFFF"/>
                      <w:vertAlign w:val="subscript"/>
                    </w:rPr>
                    <w:t>2</w:t>
                  </w:r>
                </w:p>
              </w:tc>
              <w:tc>
                <w:tcPr>
                  <w:tcW w:w="2268" w:type="dxa"/>
                  <w:shd w:val="clear" w:color="auto" w:fill="F2F2F2" w:themeFill="background1" w:themeFillShade="F2"/>
                </w:tcPr>
                <w:p w14:paraId="59367C8F" w14:textId="77777777" w:rsidR="00A85ACA" w:rsidRPr="004C07A3" w:rsidRDefault="00A85ACA" w:rsidP="00032543">
                  <w:pPr>
                    <w:autoSpaceDE w:val="0"/>
                    <w:autoSpaceDN w:val="0"/>
                    <w:adjustRightInd w:val="0"/>
                    <w:rPr>
                      <w:rFonts w:asciiTheme="minorHAnsi" w:hAnsiTheme="minorHAnsi" w:cstheme="minorHAnsi"/>
                      <w:sz w:val="19"/>
                      <w:szCs w:val="19"/>
                    </w:rPr>
                  </w:pPr>
                  <w:r w:rsidRPr="004C07A3">
                    <w:rPr>
                      <w:rFonts w:asciiTheme="minorHAnsi" w:hAnsiTheme="minorHAnsi" w:cstheme="minorHAnsi"/>
                      <w:sz w:val="19"/>
                      <w:szCs w:val="19"/>
                    </w:rPr>
                    <w:t>Negligible risk</w:t>
                  </w:r>
                </w:p>
              </w:tc>
            </w:tr>
            <w:tr w:rsidR="006C4DC5" w:rsidRPr="004C07A3" w14:paraId="0688B51D" w14:textId="77777777" w:rsidTr="00384D80">
              <w:tc>
                <w:tcPr>
                  <w:tcW w:w="2214" w:type="dxa"/>
                </w:tcPr>
                <w:p w14:paraId="5A64910C" w14:textId="77777777" w:rsidR="006C4DC5" w:rsidRPr="004C07A3" w:rsidRDefault="006C4DC5" w:rsidP="006C4DC5">
                  <w:pPr>
                    <w:autoSpaceDE w:val="0"/>
                    <w:autoSpaceDN w:val="0"/>
                    <w:adjustRightInd w:val="0"/>
                    <w:rPr>
                      <w:rFonts w:asciiTheme="minorHAnsi" w:hAnsiTheme="minorHAnsi" w:cstheme="minorHAnsi"/>
                      <w:sz w:val="19"/>
                      <w:szCs w:val="19"/>
                    </w:rPr>
                  </w:pPr>
                  <w:r w:rsidRPr="004C07A3">
                    <w:rPr>
                      <w:rFonts w:ascii="Helvetica" w:eastAsia="Times New Roman" w:hAnsi="Helvetica" w:cs="Times New Roman"/>
                      <w:color w:val="333333"/>
                      <w:sz w:val="19"/>
                      <w:szCs w:val="19"/>
                    </w:rPr>
                    <w:t>30-60mL/min</w:t>
                  </w:r>
                  <w:r w:rsidR="009C7DD7" w:rsidRPr="004C07A3">
                    <w:rPr>
                      <w:rFonts w:ascii="Helvetica" w:eastAsia="Times New Roman" w:hAnsi="Helvetica" w:cs="Times New Roman"/>
                      <w:color w:val="333333"/>
                      <w:sz w:val="19"/>
                      <w:szCs w:val="19"/>
                    </w:rPr>
                    <w:t>/</w:t>
                  </w:r>
                  <w:r w:rsidR="009C7DD7" w:rsidRPr="004C07A3">
                    <w:rPr>
                      <w:rFonts w:ascii="Helvetica" w:hAnsi="Helvetica"/>
                      <w:sz w:val="19"/>
                      <w:szCs w:val="19"/>
                      <w:shd w:val="clear" w:color="auto" w:fill="FFFFFF"/>
                    </w:rPr>
                    <w:t>1.73m</w:t>
                  </w:r>
                  <w:r w:rsidR="009C7DD7" w:rsidRPr="004C07A3">
                    <w:rPr>
                      <w:rFonts w:ascii="Helvetica" w:hAnsi="Helvetica"/>
                      <w:sz w:val="19"/>
                      <w:szCs w:val="19"/>
                      <w:shd w:val="clear" w:color="auto" w:fill="FFFFFF"/>
                      <w:vertAlign w:val="subscript"/>
                    </w:rPr>
                    <w:t>2</w:t>
                  </w:r>
                </w:p>
              </w:tc>
              <w:tc>
                <w:tcPr>
                  <w:tcW w:w="2268" w:type="dxa"/>
                </w:tcPr>
                <w:p w14:paraId="5F1D6A6D" w14:textId="77777777" w:rsidR="006C4DC5" w:rsidRPr="004C07A3" w:rsidRDefault="006C4DC5" w:rsidP="006C4DC5">
                  <w:pPr>
                    <w:autoSpaceDE w:val="0"/>
                    <w:autoSpaceDN w:val="0"/>
                    <w:adjustRightInd w:val="0"/>
                    <w:rPr>
                      <w:rFonts w:asciiTheme="minorHAnsi" w:hAnsiTheme="minorHAnsi" w:cstheme="minorHAnsi"/>
                      <w:sz w:val="19"/>
                      <w:szCs w:val="19"/>
                    </w:rPr>
                  </w:pPr>
                  <w:r w:rsidRPr="004C07A3">
                    <w:rPr>
                      <w:rFonts w:asciiTheme="minorHAnsi" w:hAnsiTheme="minorHAnsi" w:cstheme="minorHAnsi"/>
                      <w:sz w:val="19"/>
                      <w:szCs w:val="19"/>
                    </w:rPr>
                    <w:t>Moderate</w:t>
                  </w:r>
                  <w:r w:rsidR="00A85ACA" w:rsidRPr="004C07A3">
                    <w:rPr>
                      <w:rFonts w:asciiTheme="minorHAnsi" w:hAnsiTheme="minorHAnsi" w:cstheme="minorHAnsi"/>
                      <w:sz w:val="19"/>
                      <w:szCs w:val="19"/>
                    </w:rPr>
                    <w:t xml:space="preserve"> - Low</w:t>
                  </w:r>
                  <w:r w:rsidRPr="004C07A3">
                    <w:rPr>
                      <w:rFonts w:asciiTheme="minorHAnsi" w:hAnsiTheme="minorHAnsi" w:cstheme="minorHAnsi"/>
                      <w:sz w:val="19"/>
                      <w:szCs w:val="19"/>
                    </w:rPr>
                    <w:t xml:space="preserve"> risk</w:t>
                  </w:r>
                </w:p>
              </w:tc>
            </w:tr>
            <w:tr w:rsidR="006C4DC5" w:rsidRPr="004C07A3" w14:paraId="62638CB9" w14:textId="77777777" w:rsidTr="00384D80">
              <w:tc>
                <w:tcPr>
                  <w:tcW w:w="2214" w:type="dxa"/>
                </w:tcPr>
                <w:p w14:paraId="4598C106" w14:textId="77777777" w:rsidR="006C4DC5" w:rsidRPr="004C07A3" w:rsidRDefault="006C4DC5" w:rsidP="006C4DC5">
                  <w:pPr>
                    <w:autoSpaceDE w:val="0"/>
                    <w:autoSpaceDN w:val="0"/>
                    <w:adjustRightInd w:val="0"/>
                    <w:rPr>
                      <w:rFonts w:asciiTheme="minorHAnsi" w:hAnsiTheme="minorHAnsi" w:cstheme="minorHAnsi"/>
                      <w:sz w:val="19"/>
                      <w:szCs w:val="19"/>
                    </w:rPr>
                  </w:pPr>
                  <w:r w:rsidRPr="004C07A3">
                    <w:rPr>
                      <w:rFonts w:ascii="Helvetica" w:eastAsia="Times New Roman" w:hAnsi="Helvetica" w:cs="Times New Roman"/>
                      <w:color w:val="333333"/>
                      <w:sz w:val="19"/>
                      <w:szCs w:val="19"/>
                    </w:rPr>
                    <w:t>&lt;30mL/min</w:t>
                  </w:r>
                  <w:r w:rsidR="009C7DD7" w:rsidRPr="004C07A3">
                    <w:rPr>
                      <w:rFonts w:ascii="Helvetica" w:eastAsia="Times New Roman" w:hAnsi="Helvetica" w:cs="Times New Roman"/>
                      <w:color w:val="333333"/>
                      <w:sz w:val="19"/>
                      <w:szCs w:val="19"/>
                    </w:rPr>
                    <w:t>/</w:t>
                  </w:r>
                  <w:r w:rsidR="009C7DD7" w:rsidRPr="004C07A3">
                    <w:rPr>
                      <w:rFonts w:ascii="Helvetica" w:hAnsi="Helvetica"/>
                      <w:sz w:val="19"/>
                      <w:szCs w:val="19"/>
                      <w:shd w:val="clear" w:color="auto" w:fill="FFFFFF"/>
                    </w:rPr>
                    <w:t>1.73m</w:t>
                  </w:r>
                  <w:r w:rsidR="009C7DD7" w:rsidRPr="004C07A3">
                    <w:rPr>
                      <w:rFonts w:ascii="Helvetica" w:hAnsi="Helvetica"/>
                      <w:sz w:val="19"/>
                      <w:szCs w:val="19"/>
                      <w:shd w:val="clear" w:color="auto" w:fill="FFFFFF"/>
                      <w:vertAlign w:val="subscript"/>
                    </w:rPr>
                    <w:t>2</w:t>
                  </w:r>
                </w:p>
              </w:tc>
              <w:tc>
                <w:tcPr>
                  <w:tcW w:w="2268" w:type="dxa"/>
                </w:tcPr>
                <w:p w14:paraId="1031D275" w14:textId="77777777" w:rsidR="006C4DC5" w:rsidRPr="004C07A3" w:rsidRDefault="006C4DC5" w:rsidP="006C4DC5">
                  <w:pPr>
                    <w:autoSpaceDE w:val="0"/>
                    <w:autoSpaceDN w:val="0"/>
                    <w:adjustRightInd w:val="0"/>
                    <w:rPr>
                      <w:rFonts w:asciiTheme="minorHAnsi" w:hAnsiTheme="minorHAnsi" w:cstheme="minorHAnsi"/>
                      <w:sz w:val="19"/>
                      <w:szCs w:val="19"/>
                    </w:rPr>
                  </w:pPr>
                  <w:r w:rsidRPr="004C07A3">
                    <w:rPr>
                      <w:rFonts w:asciiTheme="minorHAnsi" w:hAnsiTheme="minorHAnsi" w:cstheme="minorHAnsi"/>
                      <w:sz w:val="19"/>
                      <w:szCs w:val="19"/>
                    </w:rPr>
                    <w:t>High risk</w:t>
                  </w:r>
                </w:p>
              </w:tc>
            </w:tr>
          </w:tbl>
          <w:p w14:paraId="201A7438" w14:textId="77777777" w:rsidR="006C4DC5" w:rsidRPr="004C07A3" w:rsidRDefault="006C4DC5" w:rsidP="00032543">
            <w:pPr>
              <w:autoSpaceDE w:val="0"/>
              <w:autoSpaceDN w:val="0"/>
              <w:adjustRightInd w:val="0"/>
              <w:rPr>
                <w:rFonts w:ascii="Helvetica" w:hAnsi="Helvetica"/>
                <w:color w:val="333333"/>
                <w:sz w:val="16"/>
                <w:szCs w:val="16"/>
                <w:shd w:val="clear" w:color="auto" w:fill="FFFFFF"/>
              </w:rPr>
            </w:pPr>
          </w:p>
          <w:p w14:paraId="31E9481C" w14:textId="77777777" w:rsidR="00032543" w:rsidRPr="00972FA4" w:rsidRDefault="00454AB9" w:rsidP="00384D80">
            <w:pPr>
              <w:autoSpaceDE w:val="0"/>
              <w:autoSpaceDN w:val="0"/>
              <w:adjustRightInd w:val="0"/>
              <w:ind w:left="41"/>
              <w:rPr>
                <w:rFonts w:asciiTheme="minorHAnsi" w:hAnsiTheme="minorHAnsi" w:cstheme="minorHAnsi"/>
                <w:sz w:val="19"/>
                <w:szCs w:val="19"/>
              </w:rPr>
            </w:pPr>
            <w:r w:rsidRPr="004C07A3">
              <w:rPr>
                <w:rFonts w:asciiTheme="minorHAnsi" w:hAnsiTheme="minorHAnsi" w:cstheme="minorHAnsi"/>
                <w:sz w:val="16"/>
                <w:szCs w:val="16"/>
              </w:rPr>
              <w:t>*</w:t>
            </w:r>
            <w:r w:rsidRPr="004C07A3">
              <w:rPr>
                <w:rFonts w:asciiTheme="minorHAnsi" w:hAnsiTheme="minorHAnsi" w:cstheme="minorHAnsi"/>
                <w:i/>
                <w:sz w:val="16"/>
                <w:szCs w:val="16"/>
              </w:rPr>
              <w:t xml:space="preserve"> Ad</w:t>
            </w:r>
            <w:r w:rsidRPr="004C07A3">
              <w:rPr>
                <w:rFonts w:asciiTheme="minorHAnsi" w:hAnsiTheme="minorHAnsi" w:cstheme="minorHAnsi"/>
                <w:b/>
                <w:i/>
                <w:sz w:val="16"/>
                <w:szCs w:val="16"/>
              </w:rPr>
              <w:t>a</w:t>
            </w:r>
            <w:r w:rsidRPr="004C07A3">
              <w:rPr>
                <w:rFonts w:asciiTheme="minorHAnsi" w:hAnsiTheme="minorHAnsi" w:cstheme="minorHAnsi"/>
                <w:i/>
                <w:sz w:val="16"/>
                <w:szCs w:val="16"/>
              </w:rPr>
              <w:t xml:space="preserve">pted from </w:t>
            </w:r>
            <w:r w:rsidRPr="004C07A3">
              <w:rPr>
                <w:b/>
                <w:i/>
                <w:sz w:val="16"/>
                <w:szCs w:val="16"/>
              </w:rPr>
              <w:t xml:space="preserve">RANZCR 2018, ACR </w:t>
            </w:r>
            <w:r w:rsidR="006239E3">
              <w:rPr>
                <w:b/>
                <w:i/>
                <w:sz w:val="16"/>
                <w:szCs w:val="16"/>
              </w:rPr>
              <w:t>–</w:t>
            </w:r>
            <w:r w:rsidRPr="004C07A3">
              <w:rPr>
                <w:b/>
                <w:i/>
                <w:sz w:val="16"/>
                <w:szCs w:val="16"/>
              </w:rPr>
              <w:t xml:space="preserve"> 2018</w:t>
            </w:r>
            <w:r w:rsidR="006239E3">
              <w:rPr>
                <w:b/>
                <w:i/>
                <w:sz w:val="16"/>
                <w:szCs w:val="16"/>
              </w:rPr>
              <w:t>, Bibliography 1-4.</w:t>
            </w:r>
          </w:p>
        </w:tc>
      </w:tr>
      <w:tr w:rsidR="00032543" w14:paraId="0C92AB06" w14:textId="77777777" w:rsidTr="00384D80">
        <w:tblPrEx>
          <w:tblCellMar>
            <w:top w:w="85" w:type="dxa"/>
            <w:left w:w="85" w:type="dxa"/>
            <w:bottom w:w="85" w:type="dxa"/>
            <w:right w:w="85" w:type="dxa"/>
          </w:tblCellMar>
        </w:tblPrEx>
        <w:trPr>
          <w:trHeight w:val="1020"/>
        </w:trPr>
        <w:tc>
          <w:tcPr>
            <w:tcW w:w="1413" w:type="dxa"/>
          </w:tcPr>
          <w:p w14:paraId="17E864D4" w14:textId="77777777" w:rsidR="00032543" w:rsidRPr="00EA3785" w:rsidRDefault="00032543" w:rsidP="00032543">
            <w:pPr>
              <w:rPr>
                <w:rFonts w:asciiTheme="minorHAnsi" w:hAnsiTheme="minorHAnsi" w:cstheme="minorHAnsi"/>
                <w:b/>
                <w:sz w:val="19"/>
                <w:szCs w:val="19"/>
              </w:rPr>
            </w:pPr>
            <w:r w:rsidRPr="00EA3785">
              <w:rPr>
                <w:rFonts w:asciiTheme="minorHAnsi" w:hAnsiTheme="minorHAnsi" w:cstheme="minorHAnsi"/>
                <w:b/>
                <w:sz w:val="19"/>
                <w:szCs w:val="19"/>
              </w:rPr>
              <w:t>Presentation</w:t>
            </w:r>
          </w:p>
          <w:p w14:paraId="4970D7F5" w14:textId="77777777" w:rsidR="00032543" w:rsidRPr="00EA3785" w:rsidRDefault="00032543" w:rsidP="00032543">
            <w:pPr>
              <w:rPr>
                <w:rFonts w:asciiTheme="minorHAnsi" w:hAnsiTheme="minorHAnsi" w:cstheme="minorHAnsi"/>
                <w:b/>
                <w:sz w:val="19"/>
                <w:szCs w:val="19"/>
              </w:rPr>
            </w:pPr>
          </w:p>
        </w:tc>
        <w:tc>
          <w:tcPr>
            <w:tcW w:w="8505" w:type="dxa"/>
          </w:tcPr>
          <w:p w14:paraId="09199BA9" w14:textId="77777777" w:rsidR="006C4DC5" w:rsidRDefault="00032543" w:rsidP="00032543">
            <w:pPr>
              <w:rPr>
                <w:rFonts w:asciiTheme="minorHAnsi" w:hAnsiTheme="minorHAnsi" w:cstheme="minorHAnsi"/>
                <w:sz w:val="19"/>
                <w:szCs w:val="19"/>
              </w:rPr>
            </w:pPr>
            <w:r w:rsidRPr="00972FA4">
              <w:rPr>
                <w:rFonts w:asciiTheme="minorHAnsi" w:hAnsiTheme="minorHAnsi" w:cstheme="minorHAnsi"/>
                <w:sz w:val="19"/>
                <w:szCs w:val="19"/>
              </w:rPr>
              <w:t xml:space="preserve">&lt;CONTRAST MEDIA NAME&gt; is a clear, colourless liquid and comes in bottles of 20mL, 50mL, 75mL, 100mL, 125mL, 150mL, and 500mL. </w:t>
            </w:r>
          </w:p>
          <w:p w14:paraId="36756B13" w14:textId="77777777" w:rsidR="006C4DC5" w:rsidRDefault="006C4DC5" w:rsidP="00032543">
            <w:pPr>
              <w:rPr>
                <w:rFonts w:asciiTheme="minorHAnsi" w:hAnsiTheme="minorHAnsi" w:cstheme="minorHAnsi"/>
                <w:sz w:val="19"/>
                <w:szCs w:val="19"/>
              </w:rPr>
            </w:pPr>
          </w:p>
          <w:p w14:paraId="51999915" w14:textId="77777777" w:rsidR="006C4DC5" w:rsidRPr="00972FA4" w:rsidRDefault="00032543" w:rsidP="00032543">
            <w:pPr>
              <w:rPr>
                <w:rFonts w:asciiTheme="minorHAnsi" w:hAnsiTheme="minorHAnsi" w:cstheme="minorHAnsi"/>
                <w:sz w:val="19"/>
                <w:szCs w:val="19"/>
              </w:rPr>
            </w:pPr>
            <w:r w:rsidRPr="00972FA4">
              <w:rPr>
                <w:rFonts w:asciiTheme="minorHAnsi" w:hAnsiTheme="minorHAnsi" w:cstheme="minorHAnsi"/>
                <w:sz w:val="19"/>
                <w:szCs w:val="19"/>
              </w:rPr>
              <w:t xml:space="preserve">&lt;CONTRAST MEDIA NAME&gt; contains &lt;QUANTITY&gt; of </w:t>
            </w:r>
            <w:proofErr w:type="spellStart"/>
            <w:r w:rsidRPr="00972FA4">
              <w:rPr>
                <w:rFonts w:asciiTheme="minorHAnsi" w:hAnsiTheme="minorHAnsi" w:cstheme="minorHAnsi"/>
                <w:sz w:val="19"/>
                <w:szCs w:val="19"/>
              </w:rPr>
              <w:t>iohexol</w:t>
            </w:r>
            <w:proofErr w:type="spellEnd"/>
            <w:r w:rsidRPr="00972FA4">
              <w:rPr>
                <w:rFonts w:asciiTheme="minorHAnsi" w:hAnsiTheme="minorHAnsi" w:cstheme="minorHAnsi"/>
                <w:sz w:val="19"/>
                <w:szCs w:val="19"/>
              </w:rPr>
              <w:t xml:space="preserve"> (equivalent to &lt;QUANTITY&gt; of iodine) per mL</w:t>
            </w:r>
          </w:p>
        </w:tc>
      </w:tr>
      <w:tr w:rsidR="00032543" w14:paraId="63D473EF" w14:textId="77777777" w:rsidTr="00384D80">
        <w:tblPrEx>
          <w:tblCellMar>
            <w:top w:w="85" w:type="dxa"/>
            <w:left w:w="85" w:type="dxa"/>
            <w:bottom w:w="85" w:type="dxa"/>
            <w:right w:w="85" w:type="dxa"/>
          </w:tblCellMar>
        </w:tblPrEx>
        <w:trPr>
          <w:trHeight w:val="2778"/>
        </w:trPr>
        <w:tc>
          <w:tcPr>
            <w:tcW w:w="1413" w:type="dxa"/>
          </w:tcPr>
          <w:p w14:paraId="71B7CA56" w14:textId="77777777" w:rsidR="00032543" w:rsidRPr="00EA3785" w:rsidRDefault="00032543" w:rsidP="00032543">
            <w:pPr>
              <w:rPr>
                <w:rFonts w:asciiTheme="minorHAnsi" w:hAnsiTheme="minorHAnsi" w:cstheme="minorHAnsi"/>
                <w:b/>
                <w:sz w:val="19"/>
                <w:szCs w:val="19"/>
              </w:rPr>
            </w:pPr>
            <w:r w:rsidRPr="00EA3785">
              <w:rPr>
                <w:rFonts w:asciiTheme="minorHAnsi" w:hAnsiTheme="minorHAnsi" w:cstheme="minorHAnsi"/>
                <w:b/>
                <w:i/>
                <w:sz w:val="19"/>
                <w:szCs w:val="19"/>
              </w:rPr>
              <w:t>Precautions and adverse effects</w:t>
            </w:r>
          </w:p>
        </w:tc>
        <w:tc>
          <w:tcPr>
            <w:tcW w:w="8505" w:type="dxa"/>
          </w:tcPr>
          <w:p w14:paraId="32DA382F" w14:textId="77777777" w:rsidR="00032543" w:rsidRPr="006C4DC5" w:rsidRDefault="00032543" w:rsidP="00032543">
            <w:pPr>
              <w:pStyle w:val="Pa0"/>
              <w:rPr>
                <w:rStyle w:val="A1"/>
                <w:rFonts w:asciiTheme="minorHAnsi" w:hAnsiTheme="minorHAnsi" w:cstheme="minorHAnsi"/>
                <w:i w:val="0"/>
                <w:sz w:val="19"/>
                <w:szCs w:val="19"/>
              </w:rPr>
            </w:pPr>
            <w:r w:rsidRPr="006C4DC5">
              <w:rPr>
                <w:rStyle w:val="A1"/>
                <w:rFonts w:asciiTheme="minorHAnsi" w:hAnsiTheme="minorHAnsi" w:cstheme="minorHAnsi"/>
                <w:i w:val="0"/>
                <w:sz w:val="19"/>
                <w:szCs w:val="19"/>
              </w:rPr>
              <w:t xml:space="preserve">Patients should be encouraged to drink water </w:t>
            </w:r>
            <w:r w:rsidR="00DF6CB4">
              <w:rPr>
                <w:rStyle w:val="A1"/>
                <w:rFonts w:asciiTheme="minorHAnsi" w:hAnsiTheme="minorHAnsi" w:cstheme="minorHAnsi"/>
                <w:i w:val="0"/>
                <w:sz w:val="19"/>
                <w:szCs w:val="19"/>
              </w:rPr>
              <w:t xml:space="preserve">the </w:t>
            </w:r>
            <w:r w:rsidRPr="006C4DC5">
              <w:rPr>
                <w:rStyle w:val="A1"/>
                <w:rFonts w:asciiTheme="minorHAnsi" w:hAnsiTheme="minorHAnsi" w:cstheme="minorHAnsi"/>
                <w:i w:val="0"/>
                <w:sz w:val="19"/>
                <w:szCs w:val="19"/>
              </w:rPr>
              <w:t xml:space="preserve">day before and </w:t>
            </w:r>
            <w:r w:rsidR="00DF6CB4">
              <w:rPr>
                <w:rStyle w:val="A1"/>
                <w:rFonts w:asciiTheme="minorHAnsi" w:hAnsiTheme="minorHAnsi" w:cstheme="minorHAnsi"/>
                <w:i w:val="0"/>
                <w:sz w:val="19"/>
                <w:szCs w:val="19"/>
              </w:rPr>
              <w:t xml:space="preserve">the </w:t>
            </w:r>
            <w:r w:rsidRPr="006C4DC5">
              <w:rPr>
                <w:rStyle w:val="A1"/>
                <w:rFonts w:asciiTheme="minorHAnsi" w:hAnsiTheme="minorHAnsi" w:cstheme="minorHAnsi"/>
                <w:i w:val="0"/>
                <w:sz w:val="19"/>
                <w:szCs w:val="19"/>
              </w:rPr>
              <w:t>day of the procedure.</w:t>
            </w:r>
          </w:p>
          <w:p w14:paraId="78AA2F20" w14:textId="77777777" w:rsidR="00032543" w:rsidRPr="006C4DC5" w:rsidRDefault="00032543" w:rsidP="00032543">
            <w:pPr>
              <w:pStyle w:val="Default"/>
              <w:rPr>
                <w:sz w:val="19"/>
                <w:szCs w:val="19"/>
              </w:rPr>
            </w:pPr>
          </w:p>
          <w:p w14:paraId="33DEC67A" w14:textId="77777777" w:rsidR="00032543" w:rsidRPr="006C4DC5" w:rsidRDefault="00032543" w:rsidP="00032543">
            <w:pPr>
              <w:pStyle w:val="Default"/>
              <w:rPr>
                <w:sz w:val="19"/>
                <w:szCs w:val="19"/>
              </w:rPr>
            </w:pPr>
            <w:r w:rsidRPr="006C4DC5">
              <w:rPr>
                <w:sz w:val="19"/>
                <w:szCs w:val="19"/>
              </w:rPr>
              <w:t xml:space="preserve">Medical imaging staff should avoid performing repeat contrast examinations </w:t>
            </w:r>
            <w:r w:rsidR="00DF6CB4">
              <w:rPr>
                <w:sz w:val="19"/>
                <w:szCs w:val="19"/>
              </w:rPr>
              <w:t xml:space="preserve">within </w:t>
            </w:r>
            <w:r w:rsidRPr="006C4DC5">
              <w:rPr>
                <w:sz w:val="19"/>
                <w:szCs w:val="19"/>
              </w:rPr>
              <w:t>72 hours of the CT contrast procedure where possible.</w:t>
            </w:r>
          </w:p>
          <w:p w14:paraId="047106DF" w14:textId="77777777" w:rsidR="00032543" w:rsidRPr="00EA3785" w:rsidRDefault="00032543" w:rsidP="00032543">
            <w:pPr>
              <w:pStyle w:val="Default"/>
              <w:rPr>
                <w:sz w:val="19"/>
                <w:szCs w:val="19"/>
              </w:rPr>
            </w:pPr>
          </w:p>
          <w:p w14:paraId="7F215699" w14:textId="77777777" w:rsidR="006C4DC5" w:rsidRDefault="00032543" w:rsidP="00032543">
            <w:pPr>
              <w:autoSpaceDE w:val="0"/>
              <w:autoSpaceDN w:val="0"/>
              <w:adjustRightInd w:val="0"/>
              <w:rPr>
                <w:rFonts w:asciiTheme="minorHAnsi" w:hAnsiTheme="minorHAnsi" w:cstheme="minorHAnsi"/>
                <w:sz w:val="19"/>
                <w:szCs w:val="19"/>
              </w:rPr>
            </w:pPr>
            <w:r w:rsidRPr="00EA3785">
              <w:rPr>
                <w:rFonts w:asciiTheme="minorHAnsi" w:hAnsiTheme="minorHAnsi" w:cstheme="minorHAnsi"/>
                <w:sz w:val="19"/>
                <w:szCs w:val="19"/>
              </w:rPr>
              <w:t xml:space="preserve">All patients should be monitored for the following disorders. Refer to information based on product used &lt;Insert your LHD/department specific Product Information, </w:t>
            </w:r>
            <w:r w:rsidR="006C4DC5">
              <w:rPr>
                <w:rFonts w:asciiTheme="minorHAnsi" w:hAnsiTheme="minorHAnsi" w:cstheme="minorHAnsi"/>
                <w:sz w:val="19"/>
                <w:szCs w:val="19"/>
              </w:rPr>
              <w:t xml:space="preserve">PI, HYPERLINK/reference here&gt;. </w:t>
            </w:r>
          </w:p>
          <w:p w14:paraId="3D0437A0" w14:textId="77777777" w:rsidR="006C4DC5" w:rsidRDefault="006C4DC5" w:rsidP="00032543">
            <w:pPr>
              <w:autoSpaceDE w:val="0"/>
              <w:autoSpaceDN w:val="0"/>
              <w:adjustRightInd w:val="0"/>
              <w:rPr>
                <w:rFonts w:asciiTheme="minorHAnsi" w:hAnsiTheme="minorHAnsi" w:cstheme="minorHAnsi"/>
                <w:sz w:val="19"/>
                <w:szCs w:val="19"/>
              </w:rPr>
            </w:pPr>
          </w:p>
          <w:p w14:paraId="65D6BB55" w14:textId="77777777" w:rsidR="00032543" w:rsidRPr="00384D80" w:rsidRDefault="00032543" w:rsidP="00032543">
            <w:pPr>
              <w:autoSpaceDE w:val="0"/>
              <w:autoSpaceDN w:val="0"/>
              <w:adjustRightInd w:val="0"/>
              <w:rPr>
                <w:rFonts w:asciiTheme="minorHAnsi" w:hAnsiTheme="minorHAnsi" w:cstheme="minorHAnsi"/>
                <w:sz w:val="18"/>
                <w:szCs w:val="18"/>
              </w:rPr>
            </w:pPr>
            <w:r w:rsidRPr="00384D80">
              <w:rPr>
                <w:rFonts w:asciiTheme="minorHAnsi" w:hAnsiTheme="minorHAnsi" w:cstheme="minorHAnsi"/>
                <w:b/>
                <w:sz w:val="18"/>
                <w:szCs w:val="18"/>
              </w:rPr>
              <w:t>Note</w:t>
            </w:r>
            <w:r w:rsidRPr="00384D80">
              <w:rPr>
                <w:rFonts w:asciiTheme="minorHAnsi" w:hAnsiTheme="minorHAnsi" w:cstheme="minorHAnsi"/>
                <w:sz w:val="18"/>
                <w:szCs w:val="18"/>
              </w:rPr>
              <w:t>: The information in the standing order should be dated and review</w:t>
            </w:r>
            <w:r w:rsidR="006C4DC5" w:rsidRPr="00384D80">
              <w:rPr>
                <w:rFonts w:asciiTheme="minorHAnsi" w:hAnsiTheme="minorHAnsi" w:cstheme="minorHAnsi"/>
                <w:sz w:val="18"/>
                <w:szCs w:val="18"/>
              </w:rPr>
              <w:t>ed annually to ensure currency.</w:t>
            </w:r>
          </w:p>
          <w:p w14:paraId="79DD8D48" w14:textId="77777777" w:rsidR="006C4DC5" w:rsidRPr="00EA3785" w:rsidRDefault="006C4DC5" w:rsidP="00032543">
            <w:pPr>
              <w:autoSpaceDE w:val="0"/>
              <w:autoSpaceDN w:val="0"/>
              <w:adjustRightInd w:val="0"/>
              <w:rPr>
                <w:rFonts w:asciiTheme="minorHAnsi" w:hAnsiTheme="minorHAnsi" w:cstheme="minorHAnsi"/>
                <w:sz w:val="19"/>
                <w:szCs w:val="19"/>
              </w:rPr>
            </w:pPr>
          </w:p>
          <w:p w14:paraId="43820874" w14:textId="77777777" w:rsidR="00032543" w:rsidRDefault="00032543" w:rsidP="00032543">
            <w:pPr>
              <w:autoSpaceDE w:val="0"/>
              <w:autoSpaceDN w:val="0"/>
              <w:adjustRightInd w:val="0"/>
              <w:rPr>
                <w:rFonts w:asciiTheme="minorHAnsi" w:hAnsiTheme="minorHAnsi" w:cstheme="minorHAnsi"/>
                <w:sz w:val="19"/>
                <w:szCs w:val="19"/>
              </w:rPr>
            </w:pPr>
            <w:r w:rsidRPr="00EA3785">
              <w:rPr>
                <w:rFonts w:asciiTheme="minorHAnsi" w:hAnsiTheme="minorHAnsi" w:cstheme="minorHAnsi"/>
                <w:sz w:val="19"/>
                <w:szCs w:val="19"/>
              </w:rPr>
              <w:t xml:space="preserve">An example of associated risks with IV Contrast Media administration is provided below in </w:t>
            </w:r>
            <w:r w:rsidR="00A42D39" w:rsidRPr="00EA3785">
              <w:rPr>
                <w:rFonts w:asciiTheme="minorHAnsi" w:hAnsiTheme="minorHAnsi" w:cstheme="minorHAnsi"/>
                <w:sz w:val="19"/>
                <w:szCs w:val="19"/>
              </w:rPr>
              <w:t>italics and</w:t>
            </w:r>
            <w:r w:rsidRPr="00EA3785">
              <w:rPr>
                <w:rFonts w:asciiTheme="minorHAnsi" w:hAnsiTheme="minorHAnsi" w:cstheme="minorHAnsi"/>
                <w:sz w:val="19"/>
                <w:szCs w:val="19"/>
              </w:rPr>
              <w:t xml:space="preserve"> are referenced to GE </w:t>
            </w:r>
            <w:proofErr w:type="spellStart"/>
            <w:r w:rsidRPr="00EA3785">
              <w:rPr>
                <w:rFonts w:asciiTheme="minorHAnsi" w:hAnsiTheme="minorHAnsi" w:cstheme="minorHAnsi"/>
                <w:sz w:val="19"/>
                <w:szCs w:val="19"/>
              </w:rPr>
              <w:t>Omnipaque</w:t>
            </w:r>
            <w:proofErr w:type="spellEnd"/>
            <w:r w:rsidRPr="00EA3785">
              <w:rPr>
                <w:rFonts w:asciiTheme="minorHAnsi" w:hAnsiTheme="minorHAnsi" w:cstheme="minorHAnsi"/>
                <w:sz w:val="19"/>
                <w:szCs w:val="19"/>
              </w:rPr>
              <w:t xml:space="preserve"> Product Information Sheets (April 2018)</w:t>
            </w:r>
            <w:r w:rsidR="00AD4899" w:rsidRPr="00AD4899">
              <w:rPr>
                <w:rFonts w:asciiTheme="minorHAnsi" w:hAnsiTheme="minorHAnsi" w:cstheme="minorHAnsi"/>
                <w:sz w:val="19"/>
                <w:szCs w:val="19"/>
                <w:vertAlign w:val="superscript"/>
              </w:rPr>
              <w:t>5</w:t>
            </w:r>
            <w:r w:rsidRPr="00AD4899">
              <w:rPr>
                <w:rFonts w:asciiTheme="minorHAnsi" w:hAnsiTheme="minorHAnsi" w:cstheme="minorHAnsi"/>
                <w:sz w:val="19"/>
                <w:szCs w:val="19"/>
                <w:vertAlign w:val="superscript"/>
              </w:rPr>
              <w:t xml:space="preserve"> </w:t>
            </w:r>
            <w:r w:rsidRPr="00EA3785">
              <w:rPr>
                <w:rFonts w:asciiTheme="minorHAnsi" w:hAnsiTheme="minorHAnsi" w:cstheme="minorHAnsi"/>
                <w:sz w:val="19"/>
                <w:szCs w:val="19"/>
              </w:rPr>
              <w:t>as the most prevalent contrast me</w:t>
            </w:r>
            <w:r w:rsidR="006C4DC5">
              <w:rPr>
                <w:rFonts w:asciiTheme="minorHAnsi" w:hAnsiTheme="minorHAnsi" w:cstheme="minorHAnsi"/>
                <w:sz w:val="19"/>
                <w:szCs w:val="19"/>
              </w:rPr>
              <w:t>dia at the time of this review.</w:t>
            </w:r>
            <w:r w:rsidRPr="00EA3785">
              <w:rPr>
                <w:rFonts w:asciiTheme="minorHAnsi" w:hAnsiTheme="minorHAnsi" w:cstheme="minorHAnsi"/>
                <w:sz w:val="19"/>
                <w:szCs w:val="19"/>
              </w:rPr>
              <w:t xml:space="preserve"> These conditions should be evaluated before administering IV contrast media: </w:t>
            </w:r>
          </w:p>
          <w:p w14:paraId="6E8B295F" w14:textId="77777777" w:rsidR="00032543" w:rsidRPr="00EA3785" w:rsidRDefault="00032543" w:rsidP="00032543">
            <w:pPr>
              <w:autoSpaceDE w:val="0"/>
              <w:autoSpaceDN w:val="0"/>
              <w:adjustRightInd w:val="0"/>
              <w:rPr>
                <w:rFonts w:asciiTheme="minorHAnsi" w:hAnsiTheme="minorHAnsi" w:cstheme="minorHAnsi"/>
                <w:sz w:val="19"/>
                <w:szCs w:val="19"/>
              </w:rPr>
            </w:pPr>
          </w:p>
          <w:p w14:paraId="6BBF1C8B" w14:textId="77777777" w:rsidR="00032543" w:rsidRPr="00EA3785" w:rsidRDefault="006C4DC5" w:rsidP="00032543">
            <w:pPr>
              <w:pStyle w:val="Pa0"/>
              <w:rPr>
                <w:rFonts w:asciiTheme="minorHAnsi" w:hAnsiTheme="minorHAnsi" w:cstheme="minorHAnsi"/>
                <w:i/>
                <w:color w:val="000000"/>
                <w:sz w:val="19"/>
                <w:szCs w:val="19"/>
              </w:rPr>
            </w:pPr>
            <w:r>
              <w:rPr>
                <w:rStyle w:val="A1"/>
                <w:rFonts w:asciiTheme="minorHAnsi" w:hAnsiTheme="minorHAnsi" w:cstheme="minorHAnsi"/>
                <w:b/>
                <w:bCs/>
                <w:sz w:val="19"/>
                <w:szCs w:val="19"/>
              </w:rPr>
              <w:t>Hypersensitivity r</w:t>
            </w:r>
            <w:r w:rsidR="00032543" w:rsidRPr="00EA3785">
              <w:rPr>
                <w:rStyle w:val="A1"/>
                <w:rFonts w:asciiTheme="minorHAnsi" w:hAnsiTheme="minorHAnsi" w:cstheme="minorHAnsi"/>
                <w:b/>
                <w:bCs/>
                <w:sz w:val="19"/>
                <w:szCs w:val="19"/>
              </w:rPr>
              <w:t xml:space="preserve">eactions </w:t>
            </w:r>
          </w:p>
          <w:p w14:paraId="1DB6E43A" w14:textId="77777777" w:rsidR="00032543" w:rsidRPr="00EA3785" w:rsidRDefault="006C4DC5" w:rsidP="00032543">
            <w:pPr>
              <w:pStyle w:val="Pa0"/>
              <w:rPr>
                <w:rStyle w:val="A1"/>
                <w:rFonts w:asciiTheme="minorHAnsi" w:hAnsiTheme="minorHAnsi" w:cstheme="minorHAnsi"/>
                <w:sz w:val="19"/>
                <w:szCs w:val="19"/>
              </w:rPr>
            </w:pPr>
            <w:r>
              <w:rPr>
                <w:rStyle w:val="A1"/>
                <w:rFonts w:asciiTheme="minorHAnsi" w:hAnsiTheme="minorHAnsi" w:cstheme="minorHAnsi"/>
                <w:sz w:val="19"/>
                <w:szCs w:val="19"/>
              </w:rPr>
              <w:t>Contrast m</w:t>
            </w:r>
            <w:r w:rsidR="00032543" w:rsidRPr="00EA3785">
              <w:rPr>
                <w:rStyle w:val="A1"/>
                <w:rFonts w:asciiTheme="minorHAnsi" w:hAnsiTheme="minorHAnsi" w:cstheme="minorHAnsi"/>
                <w:sz w:val="19"/>
                <w:szCs w:val="19"/>
              </w:rPr>
              <w:t>edia can cause life-threatening or fatal hypersensitivity reactions including anaphylaxis. Manifestations include respiratory arrest, laryngospasm, bronchospasm, angioedema, and shock. Most severe reactions develop shortly after the start of the injection (within 3 minutes), but reactions can occur up to hours later. There is an increased risk in patients with a history of a previous reaction to contrast ag</w:t>
            </w:r>
            <w:r>
              <w:rPr>
                <w:rStyle w:val="A1"/>
                <w:rFonts w:asciiTheme="minorHAnsi" w:hAnsiTheme="minorHAnsi" w:cstheme="minorHAnsi"/>
                <w:sz w:val="19"/>
                <w:szCs w:val="19"/>
              </w:rPr>
              <w:t xml:space="preserve">ent, and known allergies (i.e. </w:t>
            </w:r>
            <w:r w:rsidR="00032543" w:rsidRPr="00EA3785">
              <w:rPr>
                <w:rStyle w:val="A1"/>
                <w:rFonts w:asciiTheme="minorHAnsi" w:hAnsiTheme="minorHAnsi" w:cstheme="minorHAnsi"/>
                <w:sz w:val="19"/>
                <w:szCs w:val="19"/>
              </w:rPr>
              <w:t xml:space="preserve">bronchial asthma, drug, or food allergies) or other hypersensitivities. Premedication with antihistamines or corticosteroids does not prevent serious life-threatening </w:t>
            </w:r>
            <w:r w:rsidR="00A42D39" w:rsidRPr="00EA3785">
              <w:rPr>
                <w:rStyle w:val="A1"/>
                <w:rFonts w:asciiTheme="minorHAnsi" w:hAnsiTheme="minorHAnsi" w:cstheme="minorHAnsi"/>
                <w:sz w:val="19"/>
                <w:szCs w:val="19"/>
              </w:rPr>
              <w:t>reactions but</w:t>
            </w:r>
            <w:r w:rsidR="00032543" w:rsidRPr="00EA3785">
              <w:rPr>
                <w:rStyle w:val="A1"/>
                <w:rFonts w:asciiTheme="minorHAnsi" w:hAnsiTheme="minorHAnsi" w:cstheme="minorHAnsi"/>
                <w:sz w:val="19"/>
                <w:szCs w:val="19"/>
              </w:rPr>
              <w:t xml:space="preserve"> may reduce both their incidence and severity.</w:t>
            </w:r>
          </w:p>
          <w:p w14:paraId="0C5E55EC" w14:textId="77777777" w:rsidR="00032543" w:rsidRPr="00EA3785" w:rsidRDefault="00032543" w:rsidP="00032543">
            <w:pPr>
              <w:pStyle w:val="Default"/>
              <w:rPr>
                <w:sz w:val="19"/>
                <w:szCs w:val="19"/>
              </w:rPr>
            </w:pPr>
          </w:p>
          <w:p w14:paraId="1A12F1D7" w14:textId="77777777" w:rsidR="00032543" w:rsidRPr="00EA3785" w:rsidRDefault="00032543" w:rsidP="004C07A3">
            <w:pPr>
              <w:pStyle w:val="Pa0"/>
              <w:rPr>
                <w:rFonts w:asciiTheme="minorHAnsi" w:hAnsiTheme="minorHAnsi" w:cstheme="minorHAnsi"/>
                <w:sz w:val="19"/>
                <w:szCs w:val="19"/>
              </w:rPr>
            </w:pPr>
            <w:r w:rsidRPr="00EA3785">
              <w:rPr>
                <w:rStyle w:val="A1"/>
                <w:rFonts w:asciiTheme="minorHAnsi" w:hAnsiTheme="minorHAnsi" w:cstheme="minorHAnsi"/>
                <w:sz w:val="19"/>
                <w:szCs w:val="19"/>
              </w:rPr>
              <w:t>Obtain a history of allergy or hypersensitivity reactions to iodinated contrast agents and always have emergency resuscitation equipment and traine</w:t>
            </w:r>
            <w:r w:rsidR="006C4DC5">
              <w:rPr>
                <w:rStyle w:val="A1"/>
                <w:rFonts w:asciiTheme="minorHAnsi" w:hAnsiTheme="minorHAnsi" w:cstheme="minorHAnsi"/>
                <w:sz w:val="19"/>
                <w:szCs w:val="19"/>
              </w:rPr>
              <w:t>d personnel available prior to c</w:t>
            </w:r>
            <w:r w:rsidRPr="00EA3785">
              <w:rPr>
                <w:rStyle w:val="A1"/>
                <w:rFonts w:asciiTheme="minorHAnsi" w:hAnsiTheme="minorHAnsi" w:cstheme="minorHAnsi"/>
                <w:sz w:val="19"/>
                <w:szCs w:val="19"/>
              </w:rPr>
              <w:t xml:space="preserve">ontrast </w:t>
            </w:r>
            <w:r w:rsidR="006C4DC5">
              <w:rPr>
                <w:rStyle w:val="A1"/>
                <w:rFonts w:asciiTheme="minorHAnsi" w:hAnsiTheme="minorHAnsi" w:cstheme="minorHAnsi"/>
                <w:sz w:val="19"/>
                <w:szCs w:val="19"/>
              </w:rPr>
              <w:t>m</w:t>
            </w:r>
            <w:r w:rsidRPr="00EA3785">
              <w:rPr>
                <w:rStyle w:val="A1"/>
                <w:rFonts w:asciiTheme="minorHAnsi" w:hAnsiTheme="minorHAnsi" w:cstheme="minorHAnsi"/>
                <w:sz w:val="19"/>
                <w:szCs w:val="19"/>
              </w:rPr>
              <w:t>edia administration. Monitor all patients for hypersensitivity reactions.</w:t>
            </w:r>
          </w:p>
        </w:tc>
      </w:tr>
    </w:tbl>
    <w:p w14:paraId="687085D1" w14:textId="77777777" w:rsidR="004B06A9" w:rsidRDefault="004B06A9">
      <w:pPr>
        <w:spacing w:after="200"/>
      </w:pPr>
    </w:p>
    <w:p w14:paraId="3FCA95A4" w14:textId="77777777" w:rsidR="004B06A9" w:rsidRDefault="004B06A9">
      <w:pPr>
        <w:spacing w:after="200"/>
      </w:pPr>
      <w:r>
        <w:br w:type="page"/>
      </w:r>
    </w:p>
    <w:tbl>
      <w:tblPr>
        <w:tblStyle w:val="TableGrid"/>
        <w:tblW w:w="10237" w:type="dxa"/>
        <w:tblInd w:w="-147" w:type="dxa"/>
        <w:tblCellMar>
          <w:top w:w="108" w:type="dxa"/>
          <w:bottom w:w="108" w:type="dxa"/>
        </w:tblCellMar>
        <w:tblLook w:val="04A0" w:firstRow="1" w:lastRow="0" w:firstColumn="1" w:lastColumn="0" w:noHBand="0" w:noVBand="1"/>
      </w:tblPr>
      <w:tblGrid>
        <w:gridCol w:w="1725"/>
        <w:gridCol w:w="8512"/>
      </w:tblGrid>
      <w:tr w:rsidR="00032543" w14:paraId="455F6610" w14:textId="77777777" w:rsidTr="00A42D39">
        <w:tc>
          <w:tcPr>
            <w:tcW w:w="1725" w:type="dxa"/>
          </w:tcPr>
          <w:p w14:paraId="59DB91F0" w14:textId="77777777" w:rsidR="00032543" w:rsidRPr="00EA3785" w:rsidRDefault="00032543" w:rsidP="00032543">
            <w:pPr>
              <w:rPr>
                <w:rFonts w:asciiTheme="minorHAnsi" w:hAnsiTheme="minorHAnsi" w:cstheme="minorHAnsi"/>
                <w:b/>
                <w:i/>
                <w:sz w:val="19"/>
                <w:szCs w:val="19"/>
              </w:rPr>
            </w:pPr>
          </w:p>
        </w:tc>
        <w:tc>
          <w:tcPr>
            <w:tcW w:w="8512" w:type="dxa"/>
          </w:tcPr>
          <w:p w14:paraId="577A8A77" w14:textId="77777777" w:rsidR="00032543" w:rsidRPr="00EA3785" w:rsidRDefault="00032543" w:rsidP="00032543">
            <w:pPr>
              <w:autoSpaceDE w:val="0"/>
              <w:autoSpaceDN w:val="0"/>
              <w:adjustRightInd w:val="0"/>
              <w:rPr>
                <w:rFonts w:asciiTheme="minorHAnsi" w:hAnsiTheme="minorHAnsi" w:cstheme="minorHAnsi"/>
                <w:color w:val="000000"/>
                <w:sz w:val="19"/>
                <w:szCs w:val="19"/>
              </w:rPr>
            </w:pPr>
            <w:r w:rsidRPr="00EA3785">
              <w:rPr>
                <w:rFonts w:asciiTheme="minorHAnsi" w:hAnsiTheme="minorHAnsi" w:cstheme="minorHAnsi"/>
                <w:color w:val="000000"/>
                <w:sz w:val="19"/>
                <w:szCs w:val="19"/>
              </w:rPr>
              <w:t xml:space="preserve">This information </w:t>
            </w:r>
            <w:r w:rsidR="00DF6CB4">
              <w:rPr>
                <w:rFonts w:asciiTheme="minorHAnsi" w:hAnsiTheme="minorHAnsi" w:cstheme="minorHAnsi"/>
                <w:color w:val="000000"/>
                <w:sz w:val="19"/>
                <w:szCs w:val="19"/>
              </w:rPr>
              <w:t xml:space="preserve">must </w:t>
            </w:r>
            <w:r w:rsidRPr="00EA3785">
              <w:rPr>
                <w:rFonts w:asciiTheme="minorHAnsi" w:hAnsiTheme="minorHAnsi" w:cstheme="minorHAnsi"/>
                <w:color w:val="000000"/>
                <w:sz w:val="19"/>
                <w:szCs w:val="19"/>
              </w:rPr>
              <w:t xml:space="preserve">be based on the product information for the product used (determined by </w:t>
            </w:r>
            <w:r w:rsidR="006C4DC5">
              <w:rPr>
                <w:rFonts w:asciiTheme="minorHAnsi" w:hAnsiTheme="minorHAnsi" w:cstheme="minorHAnsi"/>
                <w:color w:val="000000"/>
                <w:sz w:val="19"/>
                <w:szCs w:val="19"/>
              </w:rPr>
              <w:t>LHD</w:t>
            </w:r>
            <w:r w:rsidRPr="00EA3785">
              <w:rPr>
                <w:rFonts w:asciiTheme="minorHAnsi" w:hAnsiTheme="minorHAnsi" w:cstheme="minorHAnsi"/>
                <w:color w:val="000000"/>
                <w:sz w:val="19"/>
                <w:szCs w:val="19"/>
              </w:rPr>
              <w:t xml:space="preserve">). The information below is an example (italics). </w:t>
            </w:r>
          </w:p>
          <w:p w14:paraId="131ECEC0" w14:textId="77777777" w:rsidR="00032543" w:rsidRDefault="00032543" w:rsidP="00032543">
            <w:pPr>
              <w:pStyle w:val="Pa0"/>
              <w:rPr>
                <w:rStyle w:val="A1"/>
                <w:rFonts w:asciiTheme="minorHAnsi" w:hAnsiTheme="minorHAnsi" w:cstheme="minorHAnsi"/>
                <w:b/>
                <w:bCs/>
                <w:sz w:val="19"/>
                <w:szCs w:val="19"/>
              </w:rPr>
            </w:pPr>
          </w:p>
          <w:p w14:paraId="1FEE5539" w14:textId="77777777" w:rsidR="00032543" w:rsidRPr="00EA3785" w:rsidRDefault="00032543" w:rsidP="00032543">
            <w:pPr>
              <w:pStyle w:val="Pa0"/>
              <w:rPr>
                <w:rFonts w:asciiTheme="minorHAnsi" w:hAnsiTheme="minorHAnsi" w:cstheme="minorHAnsi"/>
                <w:i/>
                <w:color w:val="000000"/>
                <w:sz w:val="19"/>
                <w:szCs w:val="19"/>
              </w:rPr>
            </w:pPr>
            <w:r w:rsidRPr="00EA3785">
              <w:rPr>
                <w:rStyle w:val="A1"/>
                <w:rFonts w:asciiTheme="minorHAnsi" w:hAnsiTheme="minorHAnsi" w:cstheme="minorHAnsi"/>
                <w:b/>
                <w:bCs/>
                <w:sz w:val="19"/>
                <w:szCs w:val="19"/>
              </w:rPr>
              <w:t xml:space="preserve">Contrast </w:t>
            </w:r>
            <w:r w:rsidR="006C4DC5">
              <w:rPr>
                <w:rStyle w:val="A1"/>
                <w:rFonts w:asciiTheme="minorHAnsi" w:hAnsiTheme="minorHAnsi" w:cstheme="minorHAnsi"/>
                <w:b/>
                <w:bCs/>
                <w:sz w:val="19"/>
                <w:szCs w:val="19"/>
              </w:rPr>
              <w:t>induced acute kidney i</w:t>
            </w:r>
            <w:r w:rsidRPr="00EA3785">
              <w:rPr>
                <w:rStyle w:val="A1"/>
                <w:rFonts w:asciiTheme="minorHAnsi" w:hAnsiTheme="minorHAnsi" w:cstheme="minorHAnsi"/>
                <w:b/>
                <w:bCs/>
                <w:sz w:val="19"/>
                <w:szCs w:val="19"/>
              </w:rPr>
              <w:t xml:space="preserve">njury </w:t>
            </w:r>
          </w:p>
          <w:p w14:paraId="15482B66" w14:textId="77777777" w:rsidR="00032543" w:rsidRPr="00EA3785" w:rsidRDefault="00032543" w:rsidP="00032543">
            <w:pPr>
              <w:pStyle w:val="Pa0"/>
              <w:rPr>
                <w:rStyle w:val="A1"/>
                <w:rFonts w:asciiTheme="minorHAnsi" w:hAnsiTheme="minorHAnsi" w:cstheme="minorHAnsi"/>
                <w:sz w:val="19"/>
                <w:szCs w:val="19"/>
              </w:rPr>
            </w:pPr>
            <w:r w:rsidRPr="00EA3785">
              <w:rPr>
                <w:rStyle w:val="A1"/>
                <w:rFonts w:asciiTheme="minorHAnsi" w:hAnsiTheme="minorHAnsi" w:cstheme="minorHAnsi"/>
                <w:sz w:val="19"/>
                <w:szCs w:val="19"/>
              </w:rPr>
              <w:t xml:space="preserve">Acute kidney injury, including renal failure, may occur after parenteral administration of contrast media. Risk factors </w:t>
            </w:r>
            <w:proofErr w:type="gramStart"/>
            <w:r w:rsidRPr="00EA3785">
              <w:rPr>
                <w:rStyle w:val="A1"/>
                <w:rFonts w:asciiTheme="minorHAnsi" w:hAnsiTheme="minorHAnsi" w:cstheme="minorHAnsi"/>
                <w:sz w:val="19"/>
                <w:szCs w:val="19"/>
              </w:rPr>
              <w:t>include:</w:t>
            </w:r>
            <w:proofErr w:type="gramEnd"/>
            <w:r w:rsidRPr="00EA3785">
              <w:rPr>
                <w:rStyle w:val="A1"/>
                <w:rFonts w:asciiTheme="minorHAnsi" w:hAnsiTheme="minorHAnsi" w:cstheme="minorHAnsi"/>
                <w:sz w:val="19"/>
                <w:szCs w:val="19"/>
              </w:rPr>
              <w:t xml:space="preserve"> pre-existing renal impairment, dehydration, diabetes mellitus, congestive heart failure, advanced vascular disease, elderly age, and concomitant use of nephrotoxic or diuretic medications, </w:t>
            </w:r>
            <w:proofErr w:type="spellStart"/>
            <w:r w:rsidRPr="00EA3785">
              <w:rPr>
                <w:rStyle w:val="A1"/>
                <w:rFonts w:asciiTheme="minorHAnsi" w:hAnsiTheme="minorHAnsi" w:cstheme="minorHAnsi"/>
                <w:sz w:val="19"/>
                <w:szCs w:val="19"/>
              </w:rPr>
              <w:t>paraproteinaceous</w:t>
            </w:r>
            <w:proofErr w:type="spellEnd"/>
            <w:r w:rsidRPr="00EA3785">
              <w:rPr>
                <w:rStyle w:val="A1"/>
                <w:rFonts w:asciiTheme="minorHAnsi" w:hAnsiTheme="minorHAnsi" w:cstheme="minorHAnsi"/>
                <w:sz w:val="19"/>
                <w:szCs w:val="19"/>
              </w:rPr>
              <w:t xml:space="preserve"> diseases, and repetitive and/or large doses of an iodinated contrast agent.</w:t>
            </w:r>
          </w:p>
          <w:p w14:paraId="0CB5AAAB" w14:textId="77777777" w:rsidR="00032543" w:rsidRPr="00EA3785" w:rsidRDefault="00032543" w:rsidP="00032543">
            <w:pPr>
              <w:pStyle w:val="Default"/>
              <w:rPr>
                <w:sz w:val="19"/>
                <w:szCs w:val="19"/>
              </w:rPr>
            </w:pPr>
          </w:p>
          <w:p w14:paraId="306127F5" w14:textId="77777777" w:rsidR="00032543" w:rsidRPr="00EA3785" w:rsidRDefault="00032543" w:rsidP="00032543">
            <w:pPr>
              <w:pStyle w:val="Pa0"/>
              <w:rPr>
                <w:rStyle w:val="A1"/>
                <w:rFonts w:asciiTheme="minorHAnsi" w:hAnsiTheme="minorHAnsi" w:cstheme="minorHAnsi"/>
                <w:sz w:val="19"/>
                <w:szCs w:val="19"/>
              </w:rPr>
            </w:pPr>
            <w:r w:rsidRPr="00EA3785">
              <w:rPr>
                <w:rStyle w:val="A1"/>
                <w:rFonts w:asciiTheme="minorHAnsi" w:hAnsiTheme="minorHAnsi" w:cstheme="minorHAnsi"/>
                <w:sz w:val="19"/>
                <w:szCs w:val="19"/>
              </w:rPr>
              <w:t>To reduce risks:</w:t>
            </w:r>
          </w:p>
          <w:p w14:paraId="1A46A092" w14:textId="77777777" w:rsidR="00032543" w:rsidRPr="00EA3785" w:rsidRDefault="00032543" w:rsidP="00461510">
            <w:pPr>
              <w:pStyle w:val="Pa0"/>
              <w:numPr>
                <w:ilvl w:val="0"/>
                <w:numId w:val="24"/>
              </w:numPr>
              <w:rPr>
                <w:rStyle w:val="A1"/>
                <w:rFonts w:asciiTheme="minorHAnsi" w:hAnsiTheme="minorHAnsi" w:cstheme="minorHAnsi"/>
                <w:sz w:val="19"/>
                <w:szCs w:val="19"/>
              </w:rPr>
            </w:pPr>
            <w:r w:rsidRPr="00EA3785">
              <w:rPr>
                <w:rStyle w:val="A1"/>
                <w:rFonts w:asciiTheme="minorHAnsi" w:hAnsiTheme="minorHAnsi" w:cstheme="minorHAnsi"/>
                <w:sz w:val="19"/>
                <w:szCs w:val="19"/>
              </w:rPr>
              <w:t xml:space="preserve">Use the lowest </w:t>
            </w:r>
            <w:r w:rsidR="006C4DC5">
              <w:rPr>
                <w:rStyle w:val="A1"/>
                <w:rFonts w:asciiTheme="minorHAnsi" w:hAnsiTheme="minorHAnsi" w:cstheme="minorHAnsi"/>
                <w:sz w:val="19"/>
                <w:szCs w:val="19"/>
              </w:rPr>
              <w:t>necessary dose of &lt;</w:t>
            </w:r>
            <w:r w:rsidRPr="00EA3785">
              <w:rPr>
                <w:rStyle w:val="A1"/>
                <w:rFonts w:asciiTheme="minorHAnsi" w:hAnsiTheme="minorHAnsi" w:cstheme="minorHAnsi"/>
                <w:sz w:val="19"/>
                <w:szCs w:val="19"/>
              </w:rPr>
              <w:t>CONTRAST NAME&gt; in patients with renal impairment.</w:t>
            </w:r>
          </w:p>
          <w:p w14:paraId="228ACE38" w14:textId="77777777" w:rsidR="00032543" w:rsidRPr="00461510" w:rsidRDefault="00032543" w:rsidP="00461510">
            <w:pPr>
              <w:pStyle w:val="ListParagraph"/>
              <w:numPr>
                <w:ilvl w:val="0"/>
                <w:numId w:val="24"/>
              </w:numPr>
              <w:rPr>
                <w:rStyle w:val="A1"/>
                <w:rFonts w:asciiTheme="minorHAnsi" w:hAnsiTheme="minorHAnsi" w:cstheme="minorHAnsi"/>
                <w:sz w:val="19"/>
                <w:szCs w:val="19"/>
              </w:rPr>
            </w:pPr>
            <w:r w:rsidRPr="00461510">
              <w:rPr>
                <w:rStyle w:val="A1"/>
                <w:rFonts w:asciiTheme="minorHAnsi" w:hAnsiTheme="minorHAnsi" w:cstheme="minorHAnsi"/>
                <w:sz w:val="19"/>
                <w:szCs w:val="19"/>
              </w:rPr>
              <w:t>Peri-procedure hydration is described in RANZCR</w:t>
            </w:r>
            <w:r w:rsidR="00AD4899" w:rsidRPr="00AD4899">
              <w:rPr>
                <w:rStyle w:val="A1"/>
                <w:rFonts w:asciiTheme="minorHAnsi" w:hAnsiTheme="minorHAnsi" w:cstheme="minorHAnsi"/>
                <w:sz w:val="19"/>
                <w:szCs w:val="19"/>
                <w:vertAlign w:val="superscript"/>
              </w:rPr>
              <w:t>3</w:t>
            </w:r>
            <w:r w:rsidRPr="00461510">
              <w:rPr>
                <w:rStyle w:val="A1"/>
                <w:rFonts w:asciiTheme="minorHAnsi" w:hAnsiTheme="minorHAnsi" w:cstheme="minorHAnsi"/>
                <w:sz w:val="19"/>
                <w:szCs w:val="19"/>
              </w:rPr>
              <w:t xml:space="preserve"> Recommendation 8:</w:t>
            </w:r>
          </w:p>
          <w:p w14:paraId="4215F144" w14:textId="77777777" w:rsidR="00032543" w:rsidRPr="004C07A3" w:rsidRDefault="00032543" w:rsidP="00461510">
            <w:pPr>
              <w:autoSpaceDE w:val="0"/>
              <w:autoSpaceDN w:val="0"/>
              <w:adjustRightInd w:val="0"/>
              <w:ind w:left="719"/>
              <w:rPr>
                <w:rFonts w:eastAsia="MS Mincho" w:cs="Arial"/>
                <w:i/>
                <w:sz w:val="20"/>
                <w:szCs w:val="20"/>
              </w:rPr>
            </w:pPr>
            <w:r w:rsidRPr="006C4DC5">
              <w:rPr>
                <w:rFonts w:eastAsia="MS Mincho" w:cs="Arial"/>
                <w:i/>
                <w:sz w:val="20"/>
                <w:szCs w:val="20"/>
              </w:rPr>
              <w:t>In patients with severe renal function impairment (eGFR less than 30 mL/min/1.73 m</w:t>
            </w:r>
            <w:r w:rsidRPr="006C4DC5">
              <w:rPr>
                <w:rFonts w:eastAsia="MS Mincho" w:cs="Arial"/>
                <w:i/>
                <w:sz w:val="13"/>
                <w:szCs w:val="13"/>
              </w:rPr>
              <w:t>2</w:t>
            </w:r>
            <w:r w:rsidRPr="006C4DC5">
              <w:rPr>
                <w:rFonts w:eastAsia="MS Mincho" w:cs="Arial"/>
                <w:i/>
                <w:sz w:val="20"/>
                <w:szCs w:val="20"/>
              </w:rPr>
              <w:t>) or</w:t>
            </w:r>
            <w:r w:rsidR="00461510" w:rsidRPr="006C4DC5">
              <w:rPr>
                <w:rFonts w:eastAsia="MS Mincho" w:cs="Arial"/>
                <w:i/>
                <w:sz w:val="20"/>
                <w:szCs w:val="20"/>
              </w:rPr>
              <w:t xml:space="preserve"> </w:t>
            </w:r>
            <w:r w:rsidRPr="006C4DC5">
              <w:rPr>
                <w:rFonts w:eastAsia="MS Mincho" w:cs="Arial"/>
                <w:i/>
                <w:sz w:val="20"/>
                <w:szCs w:val="20"/>
              </w:rPr>
              <w:t>actively deteriorating renal function (acute kidney injury) careful weighing of the risk</w:t>
            </w:r>
            <w:r w:rsidR="00461510" w:rsidRPr="006C4DC5">
              <w:rPr>
                <w:rFonts w:eastAsia="MS Mincho" w:cs="Arial"/>
                <w:i/>
                <w:sz w:val="20"/>
                <w:szCs w:val="20"/>
              </w:rPr>
              <w:t xml:space="preserve"> </w:t>
            </w:r>
            <w:r w:rsidRPr="006C4DC5">
              <w:rPr>
                <w:rFonts w:eastAsia="MS Mincho" w:cs="Arial"/>
                <w:i/>
                <w:sz w:val="20"/>
                <w:szCs w:val="20"/>
              </w:rPr>
              <w:t>versus the benefit of iodinated contrast media administration needs to be undertaken.</w:t>
            </w:r>
            <w:r w:rsidR="00461510" w:rsidRPr="006C4DC5">
              <w:rPr>
                <w:rFonts w:eastAsia="MS Mincho" w:cs="Arial"/>
                <w:i/>
                <w:sz w:val="20"/>
                <w:szCs w:val="20"/>
              </w:rPr>
              <w:t xml:space="preserve"> </w:t>
            </w:r>
            <w:r w:rsidRPr="006C4DC5">
              <w:rPr>
                <w:rFonts w:eastAsia="MS Mincho" w:cs="Arial"/>
                <w:i/>
                <w:sz w:val="20"/>
                <w:szCs w:val="20"/>
              </w:rPr>
              <w:t xml:space="preserve">Consideration should be given to </w:t>
            </w:r>
            <w:r w:rsidR="009B318A" w:rsidRPr="006C4DC5">
              <w:rPr>
                <w:rFonts w:eastAsia="MS Mincho" w:cs="Arial"/>
                <w:i/>
                <w:sz w:val="20"/>
                <w:szCs w:val="20"/>
              </w:rPr>
              <w:t>peri procedural</w:t>
            </w:r>
            <w:r w:rsidRPr="006C4DC5">
              <w:rPr>
                <w:rFonts w:eastAsia="MS Mincho" w:cs="Arial"/>
                <w:i/>
                <w:sz w:val="20"/>
                <w:szCs w:val="20"/>
              </w:rPr>
              <w:t xml:space="preserve"> renal protection using intravenous</w:t>
            </w:r>
            <w:r w:rsidR="00461510" w:rsidRPr="006C4DC5">
              <w:rPr>
                <w:rFonts w:eastAsia="MS Mincho" w:cs="Arial"/>
                <w:i/>
                <w:sz w:val="20"/>
                <w:szCs w:val="20"/>
              </w:rPr>
              <w:t xml:space="preserve"> </w:t>
            </w:r>
            <w:r w:rsidRPr="006C4DC5">
              <w:rPr>
                <w:rFonts w:eastAsia="MS Mincho" w:cs="Arial"/>
                <w:i/>
                <w:sz w:val="20"/>
                <w:szCs w:val="20"/>
              </w:rPr>
              <w:t>hydration with 0.9% saline (see relevant section). However, severe renal function</w:t>
            </w:r>
            <w:r w:rsidR="00461510" w:rsidRPr="006C4DC5">
              <w:rPr>
                <w:rFonts w:eastAsia="MS Mincho" w:cs="Arial"/>
                <w:i/>
                <w:sz w:val="20"/>
                <w:szCs w:val="20"/>
              </w:rPr>
              <w:t xml:space="preserve"> </w:t>
            </w:r>
            <w:r w:rsidRPr="006C4DC5">
              <w:rPr>
                <w:rFonts w:eastAsia="MS Mincho" w:cs="Arial"/>
                <w:i/>
                <w:sz w:val="20"/>
                <w:szCs w:val="20"/>
              </w:rPr>
              <w:t xml:space="preserve">impairment should not be regarded as an absolute contraindication to medically </w:t>
            </w:r>
            <w:r w:rsidRPr="004C07A3">
              <w:rPr>
                <w:rFonts w:eastAsia="MS Mincho" w:cs="Arial"/>
                <w:i/>
                <w:sz w:val="20"/>
                <w:szCs w:val="20"/>
              </w:rPr>
              <w:t>indicated</w:t>
            </w:r>
            <w:r w:rsidR="0048264D" w:rsidRPr="004C07A3">
              <w:rPr>
                <w:rFonts w:eastAsia="MS Mincho" w:cs="Arial"/>
                <w:i/>
                <w:sz w:val="20"/>
                <w:szCs w:val="20"/>
              </w:rPr>
              <w:t xml:space="preserve"> iodinated contrast media administration</w:t>
            </w:r>
            <w:r w:rsidR="00461510" w:rsidRPr="004C07A3">
              <w:rPr>
                <w:rFonts w:eastAsia="MS Mincho" w:cs="Arial"/>
                <w:i/>
                <w:sz w:val="20"/>
                <w:szCs w:val="20"/>
              </w:rPr>
              <w:t>.</w:t>
            </w:r>
          </w:p>
          <w:p w14:paraId="5ED59D03" w14:textId="77777777" w:rsidR="00032543" w:rsidRPr="004C07A3" w:rsidRDefault="00032543" w:rsidP="00461510">
            <w:pPr>
              <w:ind w:left="719"/>
              <w:rPr>
                <w:rStyle w:val="Hyperlink"/>
                <w:rFonts w:cstheme="minorHAnsi"/>
                <w:i/>
                <w:color w:val="auto"/>
                <w:sz w:val="19"/>
                <w:szCs w:val="19"/>
              </w:rPr>
            </w:pPr>
            <w:r w:rsidRPr="004C07A3">
              <w:rPr>
                <w:rStyle w:val="A1"/>
                <w:rFonts w:asciiTheme="minorHAnsi" w:hAnsiTheme="minorHAnsi" w:cstheme="minorHAnsi"/>
                <w:i w:val="0"/>
                <w:sz w:val="19"/>
                <w:szCs w:val="19"/>
              </w:rPr>
              <w:t xml:space="preserve">For further information see </w:t>
            </w:r>
            <w:r w:rsidRPr="004C07A3">
              <w:rPr>
                <w:rFonts w:cstheme="minorHAnsi"/>
                <w:i/>
                <w:sz w:val="19"/>
                <w:szCs w:val="19"/>
              </w:rPr>
              <w:t>NSW Therapeutic Advisory Group (TAG)</w:t>
            </w:r>
            <w:r w:rsidR="00AD4899" w:rsidRPr="00AD4899">
              <w:rPr>
                <w:rFonts w:cstheme="minorHAnsi"/>
                <w:i/>
                <w:sz w:val="19"/>
                <w:szCs w:val="19"/>
                <w:vertAlign w:val="superscript"/>
              </w:rPr>
              <w:t>4</w:t>
            </w:r>
            <w:r w:rsidRPr="004C07A3">
              <w:rPr>
                <w:rFonts w:cstheme="minorHAnsi"/>
                <w:i/>
                <w:sz w:val="19"/>
                <w:szCs w:val="19"/>
              </w:rPr>
              <w:t>,Minimising Medication related Complications in Patients Receiving Intravascular Iodinated Contrast</w:t>
            </w:r>
            <w:r w:rsidR="006C4DC5" w:rsidRPr="004C07A3">
              <w:rPr>
                <w:rFonts w:cstheme="minorHAnsi"/>
                <w:i/>
                <w:sz w:val="19"/>
                <w:szCs w:val="19"/>
              </w:rPr>
              <w:t xml:space="preserve"> </w:t>
            </w:r>
            <w:r w:rsidR="006C4DC5" w:rsidRPr="004C07A3">
              <w:rPr>
                <w:rFonts w:cstheme="minorHAnsi"/>
                <w:sz w:val="19"/>
                <w:szCs w:val="19"/>
              </w:rPr>
              <w:t>(</w:t>
            </w:r>
            <w:hyperlink r:id="rId11" w:history="1">
              <w:r w:rsidRPr="004C07A3">
                <w:rPr>
                  <w:rStyle w:val="Hyperlink"/>
                  <w:rFonts w:cstheme="minorHAnsi"/>
                  <w:sz w:val="19"/>
                  <w:szCs w:val="19"/>
                </w:rPr>
                <w:t>http://www.nswtag.org.au/practical-guidance/</w:t>
              </w:r>
            </w:hyperlink>
            <w:r w:rsidRPr="004C07A3">
              <w:rPr>
                <w:rStyle w:val="Hyperlink"/>
                <w:rFonts w:cstheme="minorHAnsi"/>
                <w:sz w:val="19"/>
                <w:szCs w:val="19"/>
              </w:rPr>
              <w:t xml:space="preserve">  pages 5 and 8)</w:t>
            </w:r>
          </w:p>
          <w:p w14:paraId="43F557BA" w14:textId="77777777" w:rsidR="00032543" w:rsidRPr="004C07A3" w:rsidRDefault="00032543" w:rsidP="00461510">
            <w:pPr>
              <w:pStyle w:val="Pa0"/>
              <w:numPr>
                <w:ilvl w:val="0"/>
                <w:numId w:val="24"/>
              </w:numPr>
              <w:rPr>
                <w:rStyle w:val="A1"/>
                <w:rFonts w:asciiTheme="minorHAnsi" w:hAnsiTheme="minorHAnsi" w:cstheme="minorHAnsi"/>
                <w:sz w:val="19"/>
                <w:szCs w:val="19"/>
              </w:rPr>
            </w:pPr>
            <w:r w:rsidRPr="004C07A3">
              <w:rPr>
                <w:rStyle w:val="A1"/>
                <w:rFonts w:asciiTheme="minorHAnsi" w:hAnsiTheme="minorHAnsi" w:cstheme="minorHAnsi"/>
                <w:sz w:val="19"/>
                <w:szCs w:val="19"/>
              </w:rPr>
              <w:t>Do not use laxatives, diuretics, or preparatory dehydration prior to contrast media administration.</w:t>
            </w:r>
          </w:p>
          <w:p w14:paraId="36335A08" w14:textId="77777777" w:rsidR="00032543" w:rsidRPr="004C07A3" w:rsidRDefault="00032543" w:rsidP="00461510">
            <w:pPr>
              <w:pStyle w:val="Default"/>
              <w:numPr>
                <w:ilvl w:val="0"/>
                <w:numId w:val="24"/>
              </w:numPr>
              <w:rPr>
                <w:i/>
                <w:sz w:val="19"/>
                <w:szCs w:val="19"/>
              </w:rPr>
            </w:pPr>
            <w:r w:rsidRPr="004C07A3">
              <w:rPr>
                <w:i/>
                <w:sz w:val="19"/>
                <w:szCs w:val="19"/>
              </w:rPr>
              <w:t>Where possible, avoid repeat contrast examinations 72 hours outside of the CT contrast procedure</w:t>
            </w:r>
            <w:r w:rsidR="00DF6CB4" w:rsidRPr="004C07A3">
              <w:rPr>
                <w:i/>
                <w:sz w:val="19"/>
                <w:szCs w:val="19"/>
              </w:rPr>
              <w:t>.</w:t>
            </w:r>
          </w:p>
          <w:p w14:paraId="6B11A81D" w14:textId="77777777" w:rsidR="00DF6CB4" w:rsidRDefault="00DF6CB4" w:rsidP="00DF6CB4">
            <w:pPr>
              <w:pStyle w:val="Default"/>
              <w:ind w:left="360"/>
              <w:rPr>
                <w:i/>
                <w:sz w:val="19"/>
                <w:szCs w:val="19"/>
              </w:rPr>
            </w:pPr>
            <w:r w:rsidRPr="004C07A3">
              <w:rPr>
                <w:i/>
                <w:sz w:val="19"/>
                <w:szCs w:val="19"/>
              </w:rPr>
              <w:t xml:space="preserve">5.   Be aware of current </w:t>
            </w:r>
            <w:r w:rsidR="00E02073" w:rsidRPr="004C07A3">
              <w:rPr>
                <w:i/>
                <w:sz w:val="19"/>
                <w:szCs w:val="19"/>
              </w:rPr>
              <w:t>n</w:t>
            </w:r>
            <w:r w:rsidRPr="004C07A3">
              <w:rPr>
                <w:i/>
                <w:sz w:val="19"/>
                <w:szCs w:val="19"/>
              </w:rPr>
              <w:t>ephrotoxic drugs being taken by the patient</w:t>
            </w:r>
          </w:p>
          <w:p w14:paraId="1F6B5E1E" w14:textId="77777777" w:rsidR="00DF6CB4" w:rsidRPr="00EA3785" w:rsidRDefault="00DF6CB4" w:rsidP="00DF6CB4">
            <w:pPr>
              <w:pStyle w:val="Default"/>
              <w:ind w:left="720"/>
              <w:rPr>
                <w:i/>
                <w:sz w:val="19"/>
                <w:szCs w:val="19"/>
              </w:rPr>
            </w:pPr>
          </w:p>
          <w:p w14:paraId="750668DB" w14:textId="77777777" w:rsidR="00032543" w:rsidRPr="00972FA4" w:rsidRDefault="00032543" w:rsidP="00B52538">
            <w:pPr>
              <w:pStyle w:val="Pa0"/>
              <w:tabs>
                <w:tab w:val="left" w:pos="2970"/>
              </w:tabs>
              <w:rPr>
                <w:rStyle w:val="A0"/>
                <w:rFonts w:asciiTheme="minorHAnsi" w:hAnsiTheme="minorHAnsi" w:cstheme="minorHAnsi"/>
                <w:i/>
                <w:sz w:val="19"/>
                <w:szCs w:val="19"/>
              </w:rPr>
            </w:pPr>
            <w:r w:rsidRPr="00972FA4">
              <w:rPr>
                <w:rStyle w:val="A0"/>
                <w:rFonts w:asciiTheme="minorHAnsi" w:hAnsiTheme="minorHAnsi" w:cstheme="minorHAnsi"/>
                <w:i/>
                <w:sz w:val="19"/>
                <w:szCs w:val="19"/>
              </w:rPr>
              <w:t xml:space="preserve">SGLT2 inhibitor  </w:t>
            </w:r>
            <w:r w:rsidR="00B52538">
              <w:rPr>
                <w:rStyle w:val="A0"/>
                <w:rFonts w:asciiTheme="minorHAnsi" w:hAnsiTheme="minorHAnsi" w:cstheme="minorHAnsi"/>
                <w:i/>
                <w:sz w:val="19"/>
                <w:szCs w:val="19"/>
              </w:rPr>
              <w:tab/>
            </w:r>
          </w:p>
          <w:p w14:paraId="11F19019" w14:textId="77777777" w:rsidR="00CD3A3F" w:rsidRDefault="00032543" w:rsidP="00CD3A3F">
            <w:pPr>
              <w:rPr>
                <w:sz w:val="19"/>
                <w:szCs w:val="19"/>
              </w:rPr>
            </w:pPr>
            <w:r w:rsidRPr="00B52538">
              <w:rPr>
                <w:rStyle w:val="A0"/>
                <w:rFonts w:asciiTheme="majorHAnsi" w:hAnsiTheme="majorHAnsi" w:cstheme="majorHAnsi"/>
                <w:b w:val="0"/>
                <w:i/>
                <w:sz w:val="19"/>
                <w:szCs w:val="19"/>
              </w:rPr>
              <w:t>Use of SGLT2</w:t>
            </w:r>
            <w:r w:rsidR="00B52538" w:rsidRPr="00B52538">
              <w:rPr>
                <w:rStyle w:val="A0"/>
                <w:rFonts w:asciiTheme="majorHAnsi" w:hAnsiTheme="majorHAnsi" w:cstheme="majorHAnsi"/>
                <w:b w:val="0"/>
                <w:i/>
                <w:sz w:val="19"/>
                <w:szCs w:val="19"/>
              </w:rPr>
              <w:t xml:space="preserve"> </w:t>
            </w:r>
            <w:r w:rsidRPr="00B52538">
              <w:rPr>
                <w:rStyle w:val="A0"/>
                <w:rFonts w:asciiTheme="majorHAnsi" w:hAnsiTheme="majorHAnsi" w:cstheme="majorHAnsi"/>
                <w:b w:val="0"/>
                <w:i/>
                <w:sz w:val="19"/>
                <w:szCs w:val="19"/>
              </w:rPr>
              <w:t>(</w:t>
            </w:r>
            <w:r w:rsidRPr="00B52538">
              <w:rPr>
                <w:rFonts w:asciiTheme="majorHAnsi" w:eastAsia="MS Mincho" w:hAnsiTheme="majorHAnsi" w:cstheme="majorHAnsi"/>
                <w:i/>
                <w:color w:val="000000"/>
                <w:sz w:val="19"/>
                <w:szCs w:val="19"/>
              </w:rPr>
              <w:t>Sodium-glucose co-transporter 2)</w:t>
            </w:r>
            <w:r w:rsidRPr="00B52538">
              <w:rPr>
                <w:rFonts w:asciiTheme="majorHAnsi" w:eastAsia="MS Mincho" w:hAnsiTheme="majorHAnsi" w:cstheme="majorHAnsi"/>
                <w:b/>
                <w:i/>
                <w:color w:val="000000"/>
                <w:sz w:val="19"/>
                <w:szCs w:val="19"/>
              </w:rPr>
              <w:t xml:space="preserve"> </w:t>
            </w:r>
            <w:r w:rsidRPr="00B52538">
              <w:rPr>
                <w:rFonts w:asciiTheme="majorHAnsi" w:eastAsia="MS Mincho" w:hAnsiTheme="majorHAnsi" w:cstheme="majorHAnsi"/>
                <w:i/>
                <w:color w:val="000000"/>
                <w:sz w:val="19"/>
                <w:szCs w:val="19"/>
              </w:rPr>
              <w:t>inhibitors</w:t>
            </w:r>
            <w:r w:rsidRPr="00B52538">
              <w:rPr>
                <w:rStyle w:val="A0"/>
                <w:rFonts w:asciiTheme="majorHAnsi" w:hAnsiTheme="majorHAnsi" w:cstheme="majorHAnsi"/>
                <w:b w:val="0"/>
                <w:i/>
                <w:sz w:val="19"/>
                <w:szCs w:val="19"/>
              </w:rPr>
              <w:t xml:space="preserve"> as a single ingredient or in combination with metformin</w:t>
            </w:r>
            <w:r w:rsidRPr="00B52538">
              <w:rPr>
                <w:rStyle w:val="A0"/>
                <w:rFonts w:asciiTheme="minorHAnsi" w:hAnsiTheme="minorHAnsi" w:cstheme="minorHAnsi"/>
                <w:b w:val="0"/>
                <w:i/>
                <w:sz w:val="19"/>
                <w:szCs w:val="19"/>
              </w:rPr>
              <w:t xml:space="preserve"> may increase the risk of dehydration </w:t>
            </w:r>
            <w:r w:rsidRPr="00461510">
              <w:rPr>
                <w:rStyle w:val="A0"/>
                <w:rFonts w:asciiTheme="minorHAnsi" w:hAnsiTheme="minorHAnsi" w:cstheme="minorHAnsi"/>
                <w:b w:val="0"/>
                <w:i/>
                <w:sz w:val="19"/>
                <w:szCs w:val="19"/>
              </w:rPr>
              <w:t xml:space="preserve">or renal impairment (Ref: Peri-operative risk of SGLT2 inhibitor-associated ketoacidosis. Clinical Excellence </w:t>
            </w:r>
            <w:r w:rsidR="00AD4899">
              <w:rPr>
                <w:rStyle w:val="A0"/>
                <w:rFonts w:asciiTheme="minorHAnsi" w:hAnsiTheme="minorHAnsi" w:cstheme="minorHAnsi"/>
                <w:b w:val="0"/>
                <w:i/>
                <w:sz w:val="19"/>
                <w:szCs w:val="19"/>
              </w:rPr>
              <w:t>Commission Safety Notice 005/18</w:t>
            </w:r>
            <w:r w:rsidR="00AD4899" w:rsidRPr="00AD4899">
              <w:rPr>
                <w:rStyle w:val="A0"/>
                <w:rFonts w:asciiTheme="minorHAnsi" w:hAnsiTheme="minorHAnsi" w:cstheme="minorHAnsi"/>
                <w:b w:val="0"/>
                <w:i/>
                <w:sz w:val="19"/>
                <w:szCs w:val="19"/>
                <w:vertAlign w:val="superscript"/>
              </w:rPr>
              <w:t>9</w:t>
            </w:r>
            <w:r w:rsidR="00AD4899">
              <w:rPr>
                <w:rStyle w:val="A0"/>
                <w:rFonts w:asciiTheme="minorHAnsi" w:hAnsiTheme="minorHAnsi" w:cstheme="minorHAnsi"/>
                <w:b w:val="0"/>
                <w:i/>
                <w:sz w:val="19"/>
                <w:szCs w:val="19"/>
              </w:rPr>
              <w:t>.</w:t>
            </w:r>
            <w:r w:rsidR="00CD3A3F" w:rsidRPr="00AD4899">
              <w:rPr>
                <w:color w:val="1F497D"/>
                <w:vertAlign w:val="superscript"/>
              </w:rPr>
              <w:t xml:space="preserve"> </w:t>
            </w:r>
            <w:r w:rsidR="00CD3A3F" w:rsidRPr="004C07A3">
              <w:rPr>
                <w:sz w:val="19"/>
                <w:szCs w:val="19"/>
              </w:rPr>
              <w:t xml:space="preserve">SGLT2 inhibitors are </w:t>
            </w:r>
          </w:p>
          <w:p w14:paraId="7B31D057" w14:textId="77777777" w:rsidR="00F8662F" w:rsidRPr="004C07A3" w:rsidRDefault="00F8662F" w:rsidP="00CD3A3F">
            <w:pPr>
              <w:rPr>
                <w:rFonts w:ascii="Calibri" w:hAnsi="Calibri"/>
                <w:sz w:val="19"/>
                <w:szCs w:val="19"/>
              </w:rPr>
            </w:pPr>
          </w:p>
          <w:p w14:paraId="4112A1D3" w14:textId="77777777" w:rsidR="00CD3A3F" w:rsidRPr="004C07A3" w:rsidRDefault="00CD3A3F" w:rsidP="00CD3A3F">
            <w:pPr>
              <w:pStyle w:val="ListParagraph"/>
              <w:numPr>
                <w:ilvl w:val="0"/>
                <w:numId w:val="34"/>
              </w:numPr>
              <w:contextualSpacing w:val="0"/>
              <w:rPr>
                <w:sz w:val="19"/>
                <w:szCs w:val="19"/>
              </w:rPr>
            </w:pPr>
            <w:r w:rsidRPr="004C07A3">
              <w:rPr>
                <w:sz w:val="19"/>
                <w:szCs w:val="19"/>
              </w:rPr>
              <w:t>Dapagliflozin</w:t>
            </w:r>
          </w:p>
          <w:p w14:paraId="02D6FE30" w14:textId="77777777" w:rsidR="00CD3A3F" w:rsidRPr="004C07A3" w:rsidRDefault="00CD3A3F" w:rsidP="00CD3A3F">
            <w:pPr>
              <w:pStyle w:val="ListParagraph"/>
              <w:numPr>
                <w:ilvl w:val="0"/>
                <w:numId w:val="34"/>
              </w:numPr>
              <w:contextualSpacing w:val="0"/>
              <w:rPr>
                <w:sz w:val="19"/>
                <w:szCs w:val="19"/>
              </w:rPr>
            </w:pPr>
            <w:r w:rsidRPr="004C07A3">
              <w:rPr>
                <w:sz w:val="19"/>
                <w:szCs w:val="19"/>
              </w:rPr>
              <w:t>Empagliflozin</w:t>
            </w:r>
          </w:p>
          <w:p w14:paraId="0CE22572" w14:textId="77777777" w:rsidR="00CD3A3F" w:rsidRPr="004C07A3" w:rsidRDefault="00CD3A3F" w:rsidP="00CD3A3F">
            <w:pPr>
              <w:pStyle w:val="ListParagraph"/>
              <w:numPr>
                <w:ilvl w:val="0"/>
                <w:numId w:val="34"/>
              </w:numPr>
              <w:contextualSpacing w:val="0"/>
              <w:rPr>
                <w:sz w:val="19"/>
                <w:szCs w:val="19"/>
              </w:rPr>
            </w:pPr>
            <w:r w:rsidRPr="004C07A3">
              <w:rPr>
                <w:sz w:val="19"/>
                <w:szCs w:val="19"/>
              </w:rPr>
              <w:t>Ertugliflozin</w:t>
            </w:r>
          </w:p>
          <w:p w14:paraId="5AC34E1F" w14:textId="77777777" w:rsidR="00032543" w:rsidRPr="00461510" w:rsidRDefault="00032543" w:rsidP="00032543">
            <w:pPr>
              <w:pStyle w:val="Pa0"/>
              <w:rPr>
                <w:rStyle w:val="A0"/>
                <w:rFonts w:asciiTheme="minorHAnsi" w:hAnsiTheme="minorHAnsi" w:cstheme="minorHAnsi"/>
                <w:b w:val="0"/>
                <w:i/>
                <w:sz w:val="19"/>
                <w:szCs w:val="19"/>
              </w:rPr>
            </w:pPr>
          </w:p>
          <w:p w14:paraId="1198E594" w14:textId="77777777" w:rsidR="00032543" w:rsidRPr="00EA3785" w:rsidRDefault="00B52538" w:rsidP="00032543">
            <w:pPr>
              <w:pStyle w:val="Pa0"/>
              <w:rPr>
                <w:rFonts w:asciiTheme="minorHAnsi" w:hAnsiTheme="minorHAnsi" w:cstheme="minorHAnsi"/>
                <w:i/>
                <w:color w:val="000000"/>
                <w:sz w:val="19"/>
                <w:szCs w:val="19"/>
              </w:rPr>
            </w:pPr>
            <w:r>
              <w:rPr>
                <w:rStyle w:val="A1"/>
                <w:rFonts w:asciiTheme="minorHAnsi" w:hAnsiTheme="minorHAnsi" w:cstheme="minorHAnsi"/>
                <w:b/>
                <w:bCs/>
                <w:sz w:val="19"/>
                <w:szCs w:val="19"/>
              </w:rPr>
              <w:t>Cardiovascular ad</w:t>
            </w:r>
            <w:r w:rsidR="00032543" w:rsidRPr="00EA3785">
              <w:rPr>
                <w:rStyle w:val="A1"/>
                <w:rFonts w:asciiTheme="minorHAnsi" w:hAnsiTheme="minorHAnsi" w:cstheme="minorHAnsi"/>
                <w:b/>
                <w:bCs/>
                <w:sz w:val="19"/>
                <w:szCs w:val="19"/>
              </w:rPr>
              <w:t xml:space="preserve">verse </w:t>
            </w:r>
            <w:r>
              <w:rPr>
                <w:rStyle w:val="A1"/>
                <w:rFonts w:asciiTheme="minorHAnsi" w:hAnsiTheme="minorHAnsi" w:cstheme="minorHAnsi"/>
                <w:b/>
                <w:bCs/>
                <w:sz w:val="19"/>
                <w:szCs w:val="19"/>
              </w:rPr>
              <w:t>r</w:t>
            </w:r>
            <w:r w:rsidR="00032543" w:rsidRPr="00EA3785">
              <w:rPr>
                <w:rStyle w:val="A1"/>
                <w:rFonts w:asciiTheme="minorHAnsi" w:hAnsiTheme="minorHAnsi" w:cstheme="minorHAnsi"/>
                <w:b/>
                <w:bCs/>
                <w:sz w:val="19"/>
                <w:szCs w:val="19"/>
              </w:rPr>
              <w:t>eactions</w:t>
            </w:r>
          </w:p>
          <w:p w14:paraId="31AC1FA8" w14:textId="77777777" w:rsidR="00032543" w:rsidRPr="00EA3785" w:rsidRDefault="00032543" w:rsidP="00032543">
            <w:pPr>
              <w:pStyle w:val="Pa0"/>
              <w:rPr>
                <w:rStyle w:val="A1"/>
                <w:rFonts w:asciiTheme="minorHAnsi" w:hAnsiTheme="minorHAnsi" w:cstheme="minorHAnsi"/>
                <w:sz w:val="19"/>
                <w:szCs w:val="19"/>
              </w:rPr>
            </w:pPr>
            <w:r w:rsidRPr="00EA3785">
              <w:rPr>
                <w:rStyle w:val="A1"/>
                <w:rFonts w:asciiTheme="minorHAnsi" w:hAnsiTheme="minorHAnsi" w:cstheme="minorHAnsi"/>
                <w:sz w:val="19"/>
                <w:szCs w:val="19"/>
              </w:rPr>
              <w:t>Life-threatening or fatal cardiovascular reactions including hypotension, shock and cardiac arrest have occurred with th</w:t>
            </w:r>
            <w:r w:rsidR="00B52538">
              <w:rPr>
                <w:rStyle w:val="A1"/>
                <w:rFonts w:asciiTheme="minorHAnsi" w:hAnsiTheme="minorHAnsi" w:cstheme="minorHAnsi"/>
                <w:sz w:val="19"/>
                <w:szCs w:val="19"/>
              </w:rPr>
              <w:t>e parenteral administration of contrast m</w:t>
            </w:r>
            <w:r w:rsidRPr="00EA3785">
              <w:rPr>
                <w:rStyle w:val="A1"/>
                <w:rFonts w:asciiTheme="minorHAnsi" w:hAnsiTheme="minorHAnsi" w:cstheme="minorHAnsi"/>
                <w:sz w:val="19"/>
                <w:szCs w:val="19"/>
              </w:rPr>
              <w:t>edia. Most deaths occur during injection or five to ten minutes later, with cardiovascular disease as the main aggravating factor. Cardiac decompensation, serious arrhythmias, and myocardial ischemia or infarction can occur during coronary arteriography and ventriculography.</w:t>
            </w:r>
          </w:p>
          <w:p w14:paraId="33472F0C" w14:textId="77777777" w:rsidR="00032543" w:rsidRPr="00EA3785" w:rsidRDefault="00032543" w:rsidP="00032543">
            <w:pPr>
              <w:pStyle w:val="Pa0"/>
              <w:rPr>
                <w:rStyle w:val="A1"/>
                <w:rFonts w:asciiTheme="minorHAnsi" w:hAnsiTheme="minorHAnsi" w:cstheme="minorHAnsi"/>
                <w:sz w:val="19"/>
                <w:szCs w:val="19"/>
              </w:rPr>
            </w:pPr>
          </w:p>
          <w:p w14:paraId="4CE4AFFB" w14:textId="77777777" w:rsidR="00032543" w:rsidRPr="00EA3785" w:rsidRDefault="00032543" w:rsidP="00032543">
            <w:pPr>
              <w:pStyle w:val="Pa0"/>
              <w:rPr>
                <w:rStyle w:val="A1"/>
                <w:rFonts w:asciiTheme="minorHAnsi" w:hAnsiTheme="minorHAnsi" w:cstheme="minorHAnsi"/>
                <w:sz w:val="19"/>
                <w:szCs w:val="19"/>
              </w:rPr>
            </w:pPr>
            <w:r w:rsidRPr="00EA3785">
              <w:rPr>
                <w:rStyle w:val="A1"/>
                <w:rFonts w:asciiTheme="minorHAnsi" w:hAnsiTheme="minorHAnsi" w:cstheme="minorHAnsi"/>
                <w:sz w:val="19"/>
                <w:szCs w:val="19"/>
              </w:rPr>
              <w:t>Based upon clinical literature reported deaths from the administration of iodinated contrast agents range from 6.6 per million (0.00066%) to 1 in 10,000 (0.01%). Use the lowest necessary dose of contrast media in patients with congestive heart failure and always have emergency resuscitation equipment and trained personnel available. Monitor all patients for severe cardiovascular reactions.</w:t>
            </w:r>
          </w:p>
          <w:p w14:paraId="7C401B1A" w14:textId="77777777" w:rsidR="00032543" w:rsidRPr="00EA3785" w:rsidRDefault="00032543" w:rsidP="00032543">
            <w:pPr>
              <w:pStyle w:val="Pa0"/>
              <w:rPr>
                <w:rFonts w:asciiTheme="minorHAnsi" w:hAnsiTheme="minorHAnsi" w:cstheme="minorHAnsi"/>
                <w:i/>
                <w:color w:val="000000"/>
                <w:sz w:val="19"/>
                <w:szCs w:val="19"/>
              </w:rPr>
            </w:pPr>
            <w:r w:rsidRPr="00EA3785">
              <w:rPr>
                <w:rStyle w:val="A0"/>
                <w:rFonts w:asciiTheme="minorHAnsi" w:hAnsiTheme="minorHAnsi" w:cstheme="minorHAnsi"/>
                <w:i/>
                <w:sz w:val="19"/>
                <w:szCs w:val="19"/>
              </w:rPr>
              <w:t xml:space="preserve">Extravasation and </w:t>
            </w:r>
            <w:r w:rsidR="00B52538">
              <w:rPr>
                <w:rStyle w:val="A0"/>
                <w:rFonts w:asciiTheme="minorHAnsi" w:hAnsiTheme="minorHAnsi" w:cstheme="minorHAnsi"/>
                <w:i/>
                <w:sz w:val="19"/>
                <w:szCs w:val="19"/>
              </w:rPr>
              <w:t>i</w:t>
            </w:r>
            <w:r w:rsidRPr="00EA3785">
              <w:rPr>
                <w:rStyle w:val="A0"/>
                <w:rFonts w:asciiTheme="minorHAnsi" w:hAnsiTheme="minorHAnsi" w:cstheme="minorHAnsi"/>
                <w:i/>
                <w:sz w:val="19"/>
                <w:szCs w:val="19"/>
              </w:rPr>
              <w:t xml:space="preserve">njection </w:t>
            </w:r>
            <w:r w:rsidR="00B52538">
              <w:rPr>
                <w:rStyle w:val="A0"/>
                <w:rFonts w:asciiTheme="minorHAnsi" w:hAnsiTheme="minorHAnsi" w:cstheme="minorHAnsi"/>
                <w:i/>
                <w:sz w:val="19"/>
                <w:szCs w:val="19"/>
              </w:rPr>
              <w:t>site r</w:t>
            </w:r>
            <w:r w:rsidRPr="00EA3785">
              <w:rPr>
                <w:rStyle w:val="A0"/>
                <w:rFonts w:asciiTheme="minorHAnsi" w:hAnsiTheme="minorHAnsi" w:cstheme="minorHAnsi"/>
                <w:i/>
                <w:sz w:val="19"/>
                <w:szCs w:val="19"/>
              </w:rPr>
              <w:t xml:space="preserve">eactions </w:t>
            </w:r>
          </w:p>
          <w:p w14:paraId="425CBC5E" w14:textId="77777777" w:rsidR="00032543" w:rsidRPr="00EA3785" w:rsidRDefault="00B52538" w:rsidP="00032543">
            <w:pPr>
              <w:pStyle w:val="Pa0"/>
              <w:rPr>
                <w:rStyle w:val="A1"/>
                <w:rFonts w:asciiTheme="minorHAnsi" w:hAnsiTheme="minorHAnsi" w:cstheme="minorHAnsi"/>
                <w:iCs w:val="0"/>
                <w:sz w:val="19"/>
                <w:szCs w:val="19"/>
              </w:rPr>
            </w:pPr>
            <w:r>
              <w:rPr>
                <w:rStyle w:val="A1"/>
                <w:rFonts w:asciiTheme="minorHAnsi" w:hAnsiTheme="minorHAnsi" w:cstheme="minorHAnsi"/>
                <w:sz w:val="19"/>
                <w:szCs w:val="19"/>
              </w:rPr>
              <w:t>Extravasation of contrast m</w:t>
            </w:r>
            <w:r w:rsidR="00032543" w:rsidRPr="00EA3785">
              <w:rPr>
                <w:rStyle w:val="A1"/>
                <w:rFonts w:asciiTheme="minorHAnsi" w:hAnsiTheme="minorHAnsi" w:cstheme="minorHAnsi"/>
                <w:sz w:val="19"/>
                <w:szCs w:val="19"/>
              </w:rPr>
              <w:t>edia during intravascular injection may cause tissue necrosis and/or compartment syndrome, particularly in patients with severe arterial or venous disease. Ensure intravascular placement of catheters prior to injection. Monitor patients for extravasation and advise patients to seek medical care for progression of symptoms.</w:t>
            </w:r>
          </w:p>
          <w:p w14:paraId="7AB328CD" w14:textId="77777777" w:rsidR="00032543" w:rsidRPr="00EA3785" w:rsidRDefault="00B52538" w:rsidP="00032543">
            <w:pPr>
              <w:pStyle w:val="Pa0"/>
              <w:rPr>
                <w:rFonts w:asciiTheme="minorHAnsi" w:hAnsiTheme="minorHAnsi" w:cstheme="minorHAnsi"/>
                <w:i/>
                <w:color w:val="000000"/>
                <w:sz w:val="19"/>
                <w:szCs w:val="19"/>
              </w:rPr>
            </w:pPr>
            <w:r>
              <w:rPr>
                <w:rStyle w:val="A0"/>
                <w:rFonts w:asciiTheme="minorHAnsi" w:hAnsiTheme="minorHAnsi" w:cstheme="minorHAnsi"/>
                <w:i/>
                <w:sz w:val="19"/>
                <w:szCs w:val="19"/>
              </w:rPr>
              <w:t>Thyroid storm in patients with h</w:t>
            </w:r>
            <w:r w:rsidR="00032543" w:rsidRPr="00EA3785">
              <w:rPr>
                <w:rStyle w:val="A0"/>
                <w:rFonts w:asciiTheme="minorHAnsi" w:hAnsiTheme="minorHAnsi" w:cstheme="minorHAnsi"/>
                <w:i/>
                <w:sz w:val="19"/>
                <w:szCs w:val="19"/>
              </w:rPr>
              <w:t xml:space="preserve">yperthyroidism </w:t>
            </w:r>
          </w:p>
          <w:p w14:paraId="46314BB0" w14:textId="77777777" w:rsidR="00032543" w:rsidRPr="00B52538" w:rsidRDefault="00032543" w:rsidP="00B52538">
            <w:pPr>
              <w:pStyle w:val="Pa0"/>
              <w:rPr>
                <w:rFonts w:asciiTheme="minorHAnsi" w:hAnsiTheme="minorHAnsi" w:cstheme="minorHAnsi"/>
                <w:i/>
                <w:color w:val="000000"/>
                <w:sz w:val="19"/>
                <w:szCs w:val="19"/>
              </w:rPr>
            </w:pPr>
            <w:r w:rsidRPr="00EA3785">
              <w:rPr>
                <w:rStyle w:val="A1"/>
                <w:rFonts w:asciiTheme="minorHAnsi" w:hAnsiTheme="minorHAnsi" w:cstheme="minorHAnsi"/>
                <w:sz w:val="19"/>
                <w:szCs w:val="19"/>
              </w:rPr>
              <w:lastRenderedPageBreak/>
              <w:t xml:space="preserve">Thyroid storm has occurred after the intravascular use of iodinated contrast agents in patients with hyperthyroidism, or with an autonomously functioning thyroid nodule. Evaluate the risk in such patients before use of contrast media. </w:t>
            </w:r>
          </w:p>
          <w:p w14:paraId="6C318BA8" w14:textId="77777777" w:rsidR="00032543" w:rsidRPr="00EA3785" w:rsidRDefault="00032543" w:rsidP="00032543">
            <w:pPr>
              <w:pStyle w:val="Default"/>
              <w:rPr>
                <w:rFonts w:asciiTheme="minorHAnsi" w:hAnsiTheme="minorHAnsi" w:cstheme="minorHAnsi"/>
                <w:i/>
                <w:sz w:val="19"/>
                <w:szCs w:val="19"/>
              </w:rPr>
            </w:pPr>
          </w:p>
          <w:p w14:paraId="43C79B60" w14:textId="77777777" w:rsidR="00032543" w:rsidRPr="00EA3785" w:rsidRDefault="00032543" w:rsidP="00032543">
            <w:pPr>
              <w:pStyle w:val="Pa0"/>
              <w:rPr>
                <w:rFonts w:asciiTheme="minorHAnsi" w:hAnsiTheme="minorHAnsi" w:cstheme="minorHAnsi"/>
                <w:i/>
                <w:color w:val="000000"/>
                <w:sz w:val="19"/>
                <w:szCs w:val="19"/>
              </w:rPr>
            </w:pPr>
            <w:r w:rsidRPr="00EA3785">
              <w:rPr>
                <w:rStyle w:val="A0"/>
                <w:rFonts w:asciiTheme="minorHAnsi" w:hAnsiTheme="minorHAnsi" w:cstheme="minorHAnsi"/>
                <w:i/>
                <w:sz w:val="19"/>
                <w:szCs w:val="19"/>
              </w:rPr>
              <w:t xml:space="preserve">Severe </w:t>
            </w:r>
            <w:r w:rsidR="00B52538">
              <w:rPr>
                <w:rStyle w:val="A0"/>
                <w:rFonts w:asciiTheme="minorHAnsi" w:hAnsiTheme="minorHAnsi" w:cstheme="minorHAnsi"/>
                <w:i/>
                <w:sz w:val="19"/>
                <w:szCs w:val="19"/>
              </w:rPr>
              <w:t>cutaneous adverse r</w:t>
            </w:r>
            <w:r w:rsidRPr="00EA3785">
              <w:rPr>
                <w:rStyle w:val="A0"/>
                <w:rFonts w:asciiTheme="minorHAnsi" w:hAnsiTheme="minorHAnsi" w:cstheme="minorHAnsi"/>
                <w:i/>
                <w:sz w:val="19"/>
                <w:szCs w:val="19"/>
              </w:rPr>
              <w:t>eactions</w:t>
            </w:r>
          </w:p>
          <w:p w14:paraId="5BA088B7" w14:textId="77777777" w:rsidR="00032543" w:rsidRPr="00EA3785" w:rsidRDefault="00032543" w:rsidP="00032543">
            <w:pPr>
              <w:pStyle w:val="Pa0"/>
              <w:rPr>
                <w:rStyle w:val="A1"/>
                <w:rFonts w:asciiTheme="minorHAnsi" w:hAnsiTheme="minorHAnsi" w:cstheme="minorHAnsi"/>
                <w:iCs w:val="0"/>
                <w:sz w:val="19"/>
                <w:szCs w:val="19"/>
              </w:rPr>
            </w:pPr>
            <w:r w:rsidRPr="00EA3785">
              <w:rPr>
                <w:rStyle w:val="A1"/>
                <w:rFonts w:asciiTheme="minorHAnsi" w:hAnsiTheme="minorHAnsi" w:cstheme="minorHAnsi"/>
                <w:sz w:val="19"/>
                <w:szCs w:val="19"/>
              </w:rPr>
              <w:t xml:space="preserve">Severe cutaneous adverse reactions (SCAR) may develop from 1 hour to several weeks after intravascular contrast agent administration. These reactions include Stevens-Johnson syndrome and toxic epidermal necrolysis (SJS/TEN), acute generalized </w:t>
            </w:r>
            <w:proofErr w:type="spellStart"/>
            <w:r w:rsidRPr="00EA3785">
              <w:rPr>
                <w:rStyle w:val="A1"/>
                <w:rFonts w:asciiTheme="minorHAnsi" w:hAnsiTheme="minorHAnsi" w:cstheme="minorHAnsi"/>
                <w:sz w:val="19"/>
                <w:szCs w:val="19"/>
              </w:rPr>
              <w:t>exanthematous</w:t>
            </w:r>
            <w:proofErr w:type="spellEnd"/>
            <w:r w:rsidRPr="00EA3785">
              <w:rPr>
                <w:rStyle w:val="A1"/>
                <w:rFonts w:asciiTheme="minorHAnsi" w:hAnsiTheme="minorHAnsi" w:cstheme="minorHAnsi"/>
                <w:sz w:val="19"/>
                <w:szCs w:val="19"/>
              </w:rPr>
              <w:t xml:space="preserve"> pustulosis (AGEP) and drug reaction with eosinophilia and systemic symptoms (DRESS). Reaction severity may increase and time to onset may decrease with repeat administration of contrast agents; prophylactic medications may not prevent or mitigate severe cutaneous adverse reactions. Avoid administering contrast media to patients with a history of a severe cutaneous adverse reaction to contrast media.</w:t>
            </w:r>
          </w:p>
          <w:p w14:paraId="38A9C253" w14:textId="77777777" w:rsidR="00032543" w:rsidRPr="00EA3785" w:rsidRDefault="00032543" w:rsidP="00032543">
            <w:pPr>
              <w:pStyle w:val="Default"/>
              <w:rPr>
                <w:rFonts w:asciiTheme="minorHAnsi" w:hAnsiTheme="minorHAnsi" w:cstheme="minorHAnsi"/>
                <w:i/>
                <w:sz w:val="19"/>
                <w:szCs w:val="19"/>
              </w:rPr>
            </w:pPr>
          </w:p>
          <w:p w14:paraId="6390CEEE" w14:textId="77777777" w:rsidR="00AC32E1" w:rsidRPr="00A42D39" w:rsidRDefault="00032543" w:rsidP="00032543">
            <w:pPr>
              <w:pStyle w:val="Default"/>
              <w:rPr>
                <w:rFonts w:asciiTheme="minorHAnsi" w:hAnsiTheme="minorHAnsi" w:cstheme="minorHAnsi"/>
                <w:sz w:val="19"/>
                <w:szCs w:val="19"/>
              </w:rPr>
            </w:pPr>
            <w:r w:rsidRPr="00EA3785">
              <w:rPr>
                <w:rFonts w:asciiTheme="minorHAnsi" w:hAnsiTheme="minorHAnsi" w:cstheme="minorHAnsi"/>
                <w:sz w:val="19"/>
                <w:szCs w:val="19"/>
              </w:rPr>
              <w:t>For the management of adverse event</w:t>
            </w:r>
            <w:r>
              <w:rPr>
                <w:rFonts w:asciiTheme="minorHAnsi" w:hAnsiTheme="minorHAnsi" w:cstheme="minorHAnsi"/>
                <w:sz w:val="19"/>
                <w:szCs w:val="19"/>
              </w:rPr>
              <w:t>s</w:t>
            </w:r>
            <w:r w:rsidRPr="00EA3785">
              <w:rPr>
                <w:rFonts w:asciiTheme="minorHAnsi" w:hAnsiTheme="minorHAnsi" w:cstheme="minorHAnsi"/>
                <w:sz w:val="19"/>
                <w:szCs w:val="19"/>
              </w:rPr>
              <w:t xml:space="preserve"> please refer to local procedures.</w:t>
            </w:r>
          </w:p>
        </w:tc>
      </w:tr>
      <w:tr w:rsidR="00032543" w14:paraId="41F207AE" w14:textId="77777777" w:rsidTr="00A42D39">
        <w:tc>
          <w:tcPr>
            <w:tcW w:w="1725" w:type="dxa"/>
          </w:tcPr>
          <w:p w14:paraId="77DB5956" w14:textId="77777777" w:rsidR="00032543" w:rsidRPr="00EA3785" w:rsidRDefault="00032543" w:rsidP="00032543">
            <w:pPr>
              <w:rPr>
                <w:rFonts w:asciiTheme="minorHAnsi" w:hAnsiTheme="minorHAnsi" w:cstheme="minorHAnsi"/>
                <w:b/>
                <w:sz w:val="19"/>
                <w:szCs w:val="19"/>
              </w:rPr>
            </w:pPr>
            <w:r w:rsidRPr="00EA3785">
              <w:rPr>
                <w:rFonts w:asciiTheme="minorHAnsi" w:hAnsiTheme="minorHAnsi" w:cstheme="minorHAnsi"/>
                <w:b/>
                <w:sz w:val="19"/>
                <w:szCs w:val="19"/>
              </w:rPr>
              <w:lastRenderedPageBreak/>
              <w:t>Important drug interactions</w:t>
            </w:r>
          </w:p>
        </w:tc>
        <w:tc>
          <w:tcPr>
            <w:tcW w:w="8512" w:type="dxa"/>
          </w:tcPr>
          <w:p w14:paraId="34FF3D2A" w14:textId="77777777" w:rsidR="00032543" w:rsidRPr="00092AF9" w:rsidRDefault="00032543" w:rsidP="00032543">
            <w:pPr>
              <w:autoSpaceDE w:val="0"/>
              <w:autoSpaceDN w:val="0"/>
              <w:adjustRightInd w:val="0"/>
              <w:spacing w:line="241" w:lineRule="atLeast"/>
              <w:rPr>
                <w:rFonts w:asciiTheme="minorHAnsi" w:hAnsiTheme="minorHAnsi" w:cstheme="minorHAnsi"/>
                <w:b/>
                <w:color w:val="000000"/>
                <w:sz w:val="19"/>
                <w:szCs w:val="19"/>
              </w:rPr>
            </w:pPr>
            <w:r w:rsidRPr="00092AF9">
              <w:rPr>
                <w:rFonts w:asciiTheme="minorHAnsi" w:hAnsiTheme="minorHAnsi" w:cstheme="minorHAnsi"/>
                <w:b/>
                <w:color w:val="000000"/>
                <w:sz w:val="19"/>
                <w:szCs w:val="19"/>
              </w:rPr>
              <w:t>Metformin</w:t>
            </w:r>
          </w:p>
          <w:p w14:paraId="3EDA5717" w14:textId="77777777" w:rsidR="00032543" w:rsidRDefault="00032543" w:rsidP="00032543">
            <w:pPr>
              <w:autoSpaceDE w:val="0"/>
              <w:autoSpaceDN w:val="0"/>
              <w:adjustRightInd w:val="0"/>
              <w:spacing w:line="241" w:lineRule="atLeast"/>
              <w:rPr>
                <w:rFonts w:asciiTheme="minorHAnsi" w:hAnsiTheme="minorHAnsi" w:cstheme="minorHAnsi"/>
                <w:i/>
                <w:color w:val="000000"/>
                <w:sz w:val="19"/>
                <w:szCs w:val="19"/>
              </w:rPr>
            </w:pPr>
            <w:r w:rsidRPr="00092AF9">
              <w:rPr>
                <w:rFonts w:asciiTheme="minorHAnsi" w:hAnsiTheme="minorHAnsi" w:cstheme="minorHAnsi"/>
                <w:color w:val="000000"/>
                <w:sz w:val="19"/>
                <w:szCs w:val="19"/>
              </w:rPr>
              <w:t>In patients with renal impairment, metformin can cause lactic acidosis. Iodinated contrast agents appear to increase the risk of metformin-induced lactic acidosis, possibly as a resu</w:t>
            </w:r>
            <w:r w:rsidR="00B52538" w:rsidRPr="00092AF9">
              <w:rPr>
                <w:rFonts w:asciiTheme="minorHAnsi" w:hAnsiTheme="minorHAnsi" w:cstheme="minorHAnsi"/>
                <w:color w:val="000000"/>
                <w:sz w:val="19"/>
                <w:szCs w:val="19"/>
              </w:rPr>
              <w:t>lt of worsening renal function.</w:t>
            </w:r>
          </w:p>
          <w:p w14:paraId="594BD73C" w14:textId="77777777" w:rsidR="00B52538" w:rsidRPr="00EA3785" w:rsidRDefault="00B52538" w:rsidP="00032543">
            <w:pPr>
              <w:autoSpaceDE w:val="0"/>
              <w:autoSpaceDN w:val="0"/>
              <w:adjustRightInd w:val="0"/>
              <w:spacing w:line="241" w:lineRule="atLeast"/>
              <w:rPr>
                <w:rFonts w:asciiTheme="minorHAnsi" w:hAnsiTheme="minorHAnsi" w:cstheme="minorHAnsi"/>
                <w:i/>
                <w:color w:val="000000"/>
                <w:sz w:val="19"/>
                <w:szCs w:val="19"/>
              </w:rPr>
            </w:pPr>
          </w:p>
          <w:p w14:paraId="4D8CF662" w14:textId="77777777" w:rsidR="00032543" w:rsidRDefault="00032543" w:rsidP="00032543">
            <w:pPr>
              <w:autoSpaceDE w:val="0"/>
              <w:autoSpaceDN w:val="0"/>
              <w:adjustRightInd w:val="0"/>
              <w:rPr>
                <w:rFonts w:asciiTheme="minorHAnsi" w:hAnsiTheme="minorHAnsi" w:cstheme="minorHAnsi"/>
                <w:sz w:val="19"/>
                <w:szCs w:val="19"/>
              </w:rPr>
            </w:pPr>
            <w:r w:rsidRPr="00EA3785">
              <w:rPr>
                <w:rFonts w:asciiTheme="minorHAnsi" w:hAnsiTheme="minorHAnsi" w:cstheme="minorHAnsi"/>
                <w:sz w:val="19"/>
                <w:szCs w:val="19"/>
              </w:rPr>
              <w:t xml:space="preserve">Metformin </w:t>
            </w:r>
            <w:r w:rsidRPr="00EA3785">
              <w:rPr>
                <w:rFonts w:asciiTheme="minorHAnsi" w:hAnsiTheme="minorHAnsi" w:cstheme="minorHAnsi"/>
                <w:sz w:val="19"/>
                <w:szCs w:val="19"/>
                <w:u w:val="single"/>
              </w:rPr>
              <w:t>should be ceased</w:t>
            </w:r>
            <w:r w:rsidRPr="00EA3785">
              <w:rPr>
                <w:rFonts w:asciiTheme="minorHAnsi" w:hAnsiTheme="minorHAnsi" w:cstheme="minorHAnsi"/>
                <w:sz w:val="19"/>
                <w:szCs w:val="19"/>
              </w:rPr>
              <w:t xml:space="preserve"> for patients wit</w:t>
            </w:r>
            <w:r w:rsidR="00B52538">
              <w:rPr>
                <w:rFonts w:asciiTheme="minorHAnsi" w:hAnsiTheme="minorHAnsi" w:cstheme="minorHAnsi"/>
                <w:sz w:val="19"/>
                <w:szCs w:val="19"/>
              </w:rPr>
              <w:t>h unknown recent eGFR or eGFR &lt;</w:t>
            </w:r>
            <w:r w:rsidR="00092AF9">
              <w:rPr>
                <w:rFonts w:asciiTheme="minorHAnsi" w:hAnsiTheme="minorHAnsi" w:cstheme="minorHAnsi"/>
                <w:sz w:val="19"/>
                <w:szCs w:val="19"/>
              </w:rPr>
              <w:t>30</w:t>
            </w:r>
            <w:r w:rsidRPr="00EA3785">
              <w:rPr>
                <w:rFonts w:asciiTheme="minorHAnsi" w:hAnsiTheme="minorHAnsi" w:cstheme="minorHAnsi"/>
                <w:sz w:val="19"/>
                <w:szCs w:val="19"/>
              </w:rPr>
              <w:t>ml/min/1.73m</w:t>
            </w:r>
            <w:r w:rsidRPr="00EA3785">
              <w:rPr>
                <w:rFonts w:asciiTheme="minorHAnsi" w:hAnsiTheme="minorHAnsi" w:cstheme="minorHAnsi"/>
                <w:sz w:val="19"/>
                <w:szCs w:val="19"/>
                <w:vertAlign w:val="superscript"/>
              </w:rPr>
              <w:t>2</w:t>
            </w:r>
            <w:r w:rsidRPr="00EA3785">
              <w:rPr>
                <w:rFonts w:asciiTheme="minorHAnsi" w:hAnsiTheme="minorHAnsi" w:cstheme="minorHAnsi"/>
                <w:sz w:val="19"/>
                <w:szCs w:val="19"/>
              </w:rPr>
              <w:t xml:space="preserve"> OR who are acutely unwell or have deteriorating </w:t>
            </w:r>
            <w:r w:rsidR="00092AF9">
              <w:rPr>
                <w:rFonts w:asciiTheme="minorHAnsi" w:hAnsiTheme="minorHAnsi" w:cstheme="minorHAnsi"/>
                <w:sz w:val="19"/>
                <w:szCs w:val="19"/>
              </w:rPr>
              <w:t xml:space="preserve">renal function. In these </w:t>
            </w:r>
            <w:r w:rsidR="00A42D39">
              <w:rPr>
                <w:rFonts w:asciiTheme="minorHAnsi" w:hAnsiTheme="minorHAnsi" w:cstheme="minorHAnsi"/>
                <w:sz w:val="19"/>
                <w:szCs w:val="19"/>
              </w:rPr>
              <w:t>cases,</w:t>
            </w:r>
            <w:r w:rsidR="00092AF9">
              <w:rPr>
                <w:rFonts w:asciiTheme="minorHAnsi" w:hAnsiTheme="minorHAnsi" w:cstheme="minorHAnsi"/>
                <w:sz w:val="19"/>
                <w:szCs w:val="19"/>
              </w:rPr>
              <w:t xml:space="preserve"> m</w:t>
            </w:r>
            <w:r w:rsidRPr="00EA3785">
              <w:rPr>
                <w:rFonts w:asciiTheme="minorHAnsi" w:hAnsiTheme="minorHAnsi" w:cstheme="minorHAnsi"/>
                <w:sz w:val="19"/>
                <w:szCs w:val="19"/>
              </w:rPr>
              <w:t xml:space="preserve">etformin should be ceased at least 48 </w:t>
            </w:r>
            <w:r w:rsidR="00092AF9">
              <w:rPr>
                <w:rFonts w:asciiTheme="minorHAnsi" w:hAnsiTheme="minorHAnsi" w:cstheme="minorHAnsi"/>
                <w:sz w:val="19"/>
                <w:szCs w:val="19"/>
              </w:rPr>
              <w:t>hours</w:t>
            </w:r>
            <w:r w:rsidRPr="00EA3785">
              <w:rPr>
                <w:rFonts w:asciiTheme="minorHAnsi" w:hAnsiTheme="minorHAnsi" w:cstheme="minorHAnsi"/>
                <w:sz w:val="19"/>
                <w:szCs w:val="19"/>
              </w:rPr>
              <w:t xml:space="preserve"> from the time of examination and an eGFR performed prior to restarting the metformi</w:t>
            </w:r>
            <w:r w:rsidR="00092AF9">
              <w:rPr>
                <w:rFonts w:asciiTheme="minorHAnsi" w:hAnsiTheme="minorHAnsi" w:cstheme="minorHAnsi"/>
                <w:sz w:val="19"/>
                <w:szCs w:val="19"/>
              </w:rPr>
              <w:t>n.</w:t>
            </w:r>
          </w:p>
          <w:p w14:paraId="33D4E26C" w14:textId="77777777" w:rsidR="00092AF9" w:rsidRPr="00EA3785" w:rsidRDefault="00092AF9" w:rsidP="00032543">
            <w:pPr>
              <w:autoSpaceDE w:val="0"/>
              <w:autoSpaceDN w:val="0"/>
              <w:adjustRightInd w:val="0"/>
              <w:rPr>
                <w:rFonts w:asciiTheme="minorHAnsi" w:hAnsiTheme="minorHAnsi" w:cstheme="minorHAnsi"/>
                <w:sz w:val="19"/>
                <w:szCs w:val="19"/>
              </w:rPr>
            </w:pPr>
          </w:p>
          <w:p w14:paraId="08FF1464" w14:textId="77777777" w:rsidR="00032543" w:rsidRDefault="00092AF9" w:rsidP="00032543">
            <w:pPr>
              <w:rPr>
                <w:rFonts w:cstheme="minorHAnsi"/>
                <w:i/>
                <w:sz w:val="19"/>
                <w:szCs w:val="19"/>
                <w:lang w:val="en-GB"/>
              </w:rPr>
            </w:pPr>
            <w:r>
              <w:rPr>
                <w:rFonts w:asciiTheme="minorHAnsi" w:hAnsiTheme="minorHAnsi" w:cstheme="minorHAnsi"/>
                <w:sz w:val="19"/>
                <w:szCs w:val="19"/>
              </w:rPr>
              <w:t>If eGFR is &gt;</w:t>
            </w:r>
            <w:r w:rsidR="00032543" w:rsidRPr="00EA3785">
              <w:rPr>
                <w:rFonts w:asciiTheme="minorHAnsi" w:hAnsiTheme="minorHAnsi" w:cstheme="minorHAnsi"/>
                <w:sz w:val="19"/>
                <w:szCs w:val="19"/>
              </w:rPr>
              <w:t>30 ml/min/1.73m</w:t>
            </w:r>
            <w:r w:rsidR="00032543" w:rsidRPr="00EA3785">
              <w:rPr>
                <w:rFonts w:asciiTheme="minorHAnsi" w:hAnsiTheme="minorHAnsi" w:cstheme="minorHAnsi"/>
                <w:sz w:val="19"/>
                <w:szCs w:val="19"/>
                <w:vertAlign w:val="superscript"/>
              </w:rPr>
              <w:t>2</w:t>
            </w:r>
            <w:r w:rsidR="00032543" w:rsidRPr="00EA3785">
              <w:rPr>
                <w:rFonts w:asciiTheme="minorHAnsi" w:hAnsiTheme="minorHAnsi" w:cstheme="minorHAnsi"/>
                <w:sz w:val="19"/>
                <w:szCs w:val="19"/>
              </w:rPr>
              <w:t xml:space="preserve">, metformin does not </w:t>
            </w:r>
            <w:r w:rsidR="00032543" w:rsidRPr="001C0D30">
              <w:rPr>
                <w:rFonts w:asciiTheme="minorHAnsi" w:hAnsiTheme="minorHAnsi" w:cstheme="minorHAnsi"/>
                <w:sz w:val="19"/>
                <w:szCs w:val="19"/>
              </w:rPr>
              <w:t xml:space="preserve">need to be ceased (Ref: </w:t>
            </w:r>
            <w:r w:rsidR="00032543" w:rsidRPr="001C0D30">
              <w:rPr>
                <w:rFonts w:cstheme="minorHAnsi"/>
                <w:sz w:val="19"/>
                <w:szCs w:val="19"/>
                <w:lang w:val="en-GB"/>
              </w:rPr>
              <w:t>The Royal Australian and New Z</w:t>
            </w:r>
            <w:r w:rsidR="001C0D30" w:rsidRPr="001C0D30">
              <w:rPr>
                <w:rFonts w:cstheme="minorHAnsi"/>
                <w:sz w:val="19"/>
                <w:szCs w:val="19"/>
                <w:lang w:val="en-GB"/>
              </w:rPr>
              <w:t>ealand College of Radiologists,</w:t>
            </w:r>
            <w:r w:rsidR="00032543" w:rsidRPr="001C0D30">
              <w:rPr>
                <w:rFonts w:cstheme="minorHAnsi"/>
                <w:sz w:val="19"/>
                <w:szCs w:val="19"/>
                <w:lang w:val="en-GB"/>
              </w:rPr>
              <w:t xml:space="preserve"> Faculty of Clinical Radiology (2018) Iodinated Contrast Media Guideline)</w:t>
            </w:r>
            <w:r w:rsidR="00AD4899" w:rsidRPr="00AD4899">
              <w:rPr>
                <w:rFonts w:cstheme="minorHAnsi"/>
                <w:sz w:val="19"/>
                <w:szCs w:val="19"/>
                <w:vertAlign w:val="superscript"/>
                <w:lang w:val="en-GB"/>
              </w:rPr>
              <w:t>3</w:t>
            </w:r>
          </w:p>
          <w:p w14:paraId="3CBDFAEC" w14:textId="77777777" w:rsidR="001C0D30" w:rsidRPr="00EA3785" w:rsidRDefault="001C0D30" w:rsidP="00032543">
            <w:pPr>
              <w:rPr>
                <w:rFonts w:cstheme="minorHAnsi"/>
                <w:i/>
                <w:sz w:val="19"/>
                <w:szCs w:val="19"/>
              </w:rPr>
            </w:pPr>
          </w:p>
          <w:p w14:paraId="5F500B38" w14:textId="77777777" w:rsidR="00032543" w:rsidRPr="001C0D30" w:rsidRDefault="00032543" w:rsidP="00032543">
            <w:pPr>
              <w:autoSpaceDE w:val="0"/>
              <w:autoSpaceDN w:val="0"/>
              <w:adjustRightInd w:val="0"/>
              <w:rPr>
                <w:rFonts w:asciiTheme="minorHAnsi" w:hAnsiTheme="minorHAnsi" w:cstheme="minorHAnsi"/>
                <w:b/>
                <w:color w:val="000000"/>
                <w:sz w:val="19"/>
                <w:szCs w:val="19"/>
              </w:rPr>
            </w:pPr>
            <w:r w:rsidRPr="001C0D30">
              <w:rPr>
                <w:rFonts w:asciiTheme="minorHAnsi" w:hAnsiTheme="minorHAnsi" w:cstheme="minorHAnsi"/>
                <w:b/>
                <w:color w:val="000000"/>
                <w:sz w:val="19"/>
                <w:szCs w:val="19"/>
              </w:rPr>
              <w:t xml:space="preserve">Radioactive </w:t>
            </w:r>
            <w:r w:rsidR="001C0D30" w:rsidRPr="001C0D30">
              <w:rPr>
                <w:rFonts w:asciiTheme="minorHAnsi" w:hAnsiTheme="minorHAnsi" w:cstheme="minorHAnsi"/>
                <w:b/>
                <w:color w:val="000000"/>
                <w:sz w:val="19"/>
                <w:szCs w:val="19"/>
              </w:rPr>
              <w:t>i</w:t>
            </w:r>
            <w:r w:rsidRPr="001C0D30">
              <w:rPr>
                <w:rFonts w:asciiTheme="minorHAnsi" w:hAnsiTheme="minorHAnsi" w:cstheme="minorHAnsi"/>
                <w:b/>
                <w:color w:val="000000"/>
                <w:sz w:val="19"/>
                <w:szCs w:val="19"/>
              </w:rPr>
              <w:t>odine</w:t>
            </w:r>
          </w:p>
          <w:p w14:paraId="1CCB5B3B" w14:textId="77777777" w:rsidR="00032543" w:rsidRDefault="00032543" w:rsidP="00032543">
            <w:pPr>
              <w:autoSpaceDE w:val="0"/>
              <w:autoSpaceDN w:val="0"/>
              <w:adjustRightInd w:val="0"/>
              <w:spacing w:line="241" w:lineRule="atLeast"/>
              <w:rPr>
                <w:rFonts w:asciiTheme="minorHAnsi" w:hAnsiTheme="minorHAnsi" w:cstheme="minorHAnsi"/>
                <w:color w:val="000000"/>
                <w:sz w:val="19"/>
                <w:szCs w:val="19"/>
              </w:rPr>
            </w:pPr>
            <w:r w:rsidRPr="001C0D30">
              <w:rPr>
                <w:rFonts w:asciiTheme="minorHAnsi" w:hAnsiTheme="minorHAnsi" w:cstheme="minorHAnsi"/>
                <w:color w:val="000000"/>
                <w:sz w:val="19"/>
                <w:szCs w:val="19"/>
              </w:rPr>
              <w:t>Administration of iodinated contrast agents may interfere with thyroid uptake of radioactive iodine (I 131 and I-123) and decrease therapeutic and diagnostic efficacy in patients with carcinoma of the thyroid. The decrease in efficacy lasts for 6-8 weeks.</w:t>
            </w:r>
          </w:p>
          <w:p w14:paraId="4077B1E3" w14:textId="77777777" w:rsidR="001C0D30" w:rsidRPr="001C0D30" w:rsidRDefault="001C0D30" w:rsidP="00032543">
            <w:pPr>
              <w:autoSpaceDE w:val="0"/>
              <w:autoSpaceDN w:val="0"/>
              <w:adjustRightInd w:val="0"/>
              <w:spacing w:line="241" w:lineRule="atLeast"/>
              <w:rPr>
                <w:rFonts w:asciiTheme="minorHAnsi" w:hAnsiTheme="minorHAnsi" w:cstheme="minorHAnsi"/>
                <w:color w:val="000000"/>
                <w:sz w:val="19"/>
                <w:szCs w:val="19"/>
              </w:rPr>
            </w:pPr>
          </w:p>
          <w:p w14:paraId="4AF027EF" w14:textId="77777777" w:rsidR="00032543" w:rsidRPr="001C0D30" w:rsidRDefault="00032543" w:rsidP="00032543">
            <w:pPr>
              <w:autoSpaceDE w:val="0"/>
              <w:autoSpaceDN w:val="0"/>
              <w:adjustRightInd w:val="0"/>
              <w:spacing w:line="241" w:lineRule="atLeast"/>
              <w:rPr>
                <w:rFonts w:asciiTheme="minorHAnsi" w:hAnsiTheme="minorHAnsi" w:cstheme="minorHAnsi"/>
                <w:b/>
                <w:color w:val="000000"/>
                <w:sz w:val="19"/>
                <w:szCs w:val="19"/>
              </w:rPr>
            </w:pPr>
            <w:r w:rsidRPr="001C0D30">
              <w:rPr>
                <w:rFonts w:asciiTheme="minorHAnsi" w:hAnsiTheme="minorHAnsi" w:cstheme="minorHAnsi"/>
                <w:b/>
                <w:color w:val="000000"/>
                <w:sz w:val="19"/>
                <w:szCs w:val="19"/>
              </w:rPr>
              <w:t xml:space="preserve">Beta-adrenergic </w:t>
            </w:r>
            <w:r w:rsidR="001C0D30" w:rsidRPr="001C0D30">
              <w:rPr>
                <w:rFonts w:asciiTheme="minorHAnsi" w:hAnsiTheme="minorHAnsi" w:cstheme="minorHAnsi"/>
                <w:b/>
                <w:color w:val="000000"/>
                <w:sz w:val="19"/>
                <w:szCs w:val="19"/>
              </w:rPr>
              <w:t>b</w:t>
            </w:r>
            <w:r w:rsidRPr="001C0D30">
              <w:rPr>
                <w:rFonts w:asciiTheme="minorHAnsi" w:hAnsiTheme="minorHAnsi" w:cstheme="minorHAnsi"/>
                <w:b/>
                <w:color w:val="000000"/>
                <w:sz w:val="19"/>
                <w:szCs w:val="19"/>
              </w:rPr>
              <w:t>locki</w:t>
            </w:r>
            <w:r w:rsidR="001C0D30" w:rsidRPr="001C0D30">
              <w:rPr>
                <w:rFonts w:asciiTheme="minorHAnsi" w:hAnsiTheme="minorHAnsi" w:cstheme="minorHAnsi"/>
                <w:b/>
                <w:color w:val="000000"/>
                <w:sz w:val="19"/>
                <w:szCs w:val="19"/>
              </w:rPr>
              <w:t>ng a</w:t>
            </w:r>
            <w:r w:rsidRPr="001C0D30">
              <w:rPr>
                <w:rFonts w:asciiTheme="minorHAnsi" w:hAnsiTheme="minorHAnsi" w:cstheme="minorHAnsi"/>
                <w:b/>
                <w:color w:val="000000"/>
                <w:sz w:val="19"/>
                <w:szCs w:val="19"/>
              </w:rPr>
              <w:t>gents</w:t>
            </w:r>
          </w:p>
          <w:p w14:paraId="7A38C6D3" w14:textId="77777777" w:rsidR="00032543" w:rsidRDefault="00032543" w:rsidP="00032543">
            <w:pPr>
              <w:autoSpaceDE w:val="0"/>
              <w:autoSpaceDN w:val="0"/>
              <w:adjustRightInd w:val="0"/>
              <w:spacing w:line="241" w:lineRule="atLeast"/>
              <w:rPr>
                <w:rFonts w:asciiTheme="minorHAnsi" w:hAnsiTheme="minorHAnsi" w:cstheme="minorHAnsi"/>
                <w:color w:val="000000"/>
                <w:sz w:val="19"/>
                <w:szCs w:val="19"/>
              </w:rPr>
            </w:pPr>
            <w:r w:rsidRPr="001C0D30">
              <w:rPr>
                <w:rFonts w:asciiTheme="minorHAnsi" w:hAnsiTheme="minorHAnsi" w:cstheme="minorHAnsi"/>
                <w:color w:val="000000"/>
                <w:sz w:val="19"/>
                <w:szCs w:val="19"/>
              </w:rPr>
              <w:t xml:space="preserve">The use of beta-adrenergic blocking agents lowers the threshold for and increases the severity of contrast reactions and reduces the responsiveness of treatment of hypersensitivity reactions with </w:t>
            </w:r>
            <w:r w:rsidR="007E311D" w:rsidRPr="001C0D30">
              <w:rPr>
                <w:rFonts w:asciiTheme="minorHAnsi" w:hAnsiTheme="minorHAnsi" w:cstheme="minorHAnsi"/>
                <w:color w:val="000000"/>
                <w:sz w:val="19"/>
                <w:szCs w:val="19"/>
              </w:rPr>
              <w:t xml:space="preserve">adrenalin </w:t>
            </w:r>
            <w:r w:rsidRPr="001C0D30">
              <w:rPr>
                <w:rFonts w:asciiTheme="minorHAnsi" w:hAnsiTheme="minorHAnsi" w:cstheme="minorHAnsi"/>
                <w:color w:val="000000"/>
                <w:sz w:val="19"/>
                <w:szCs w:val="19"/>
              </w:rPr>
              <w:t>(</w:t>
            </w:r>
            <w:r w:rsidR="007E311D" w:rsidRPr="001C0D30">
              <w:rPr>
                <w:rFonts w:asciiTheme="minorHAnsi" w:hAnsiTheme="minorHAnsi" w:cstheme="minorHAnsi"/>
                <w:color w:val="000000"/>
                <w:sz w:val="19"/>
                <w:szCs w:val="19"/>
              </w:rPr>
              <w:t>epinephrine</w:t>
            </w:r>
            <w:r w:rsidR="007E311D">
              <w:rPr>
                <w:rFonts w:asciiTheme="minorHAnsi" w:hAnsiTheme="minorHAnsi" w:cstheme="minorHAnsi"/>
                <w:color w:val="000000"/>
                <w:sz w:val="19"/>
                <w:szCs w:val="19"/>
              </w:rPr>
              <w:t>)</w:t>
            </w:r>
            <w:r w:rsidR="007E311D" w:rsidRPr="001C0D30">
              <w:rPr>
                <w:rFonts w:asciiTheme="minorHAnsi" w:hAnsiTheme="minorHAnsi" w:cstheme="minorHAnsi"/>
                <w:color w:val="000000"/>
                <w:sz w:val="19"/>
                <w:szCs w:val="19"/>
              </w:rPr>
              <w:t xml:space="preserve"> </w:t>
            </w:r>
            <w:r w:rsidRPr="001C0D30">
              <w:rPr>
                <w:rFonts w:asciiTheme="minorHAnsi" w:hAnsiTheme="minorHAnsi" w:cstheme="minorHAnsi"/>
                <w:color w:val="000000"/>
                <w:sz w:val="19"/>
                <w:szCs w:val="19"/>
              </w:rPr>
              <w:t>Because of the risk of hypersensitivity reactions, use caution when administering contrast media to patients taking beta-blockers.</w:t>
            </w:r>
          </w:p>
          <w:p w14:paraId="6F308609" w14:textId="77777777" w:rsidR="00F8662F" w:rsidRPr="001C0D30" w:rsidRDefault="00F8662F" w:rsidP="00032543">
            <w:pPr>
              <w:autoSpaceDE w:val="0"/>
              <w:autoSpaceDN w:val="0"/>
              <w:adjustRightInd w:val="0"/>
              <w:spacing w:line="241" w:lineRule="atLeast"/>
              <w:rPr>
                <w:rFonts w:asciiTheme="minorHAnsi" w:hAnsiTheme="minorHAnsi" w:cstheme="minorHAnsi"/>
                <w:color w:val="000000"/>
                <w:sz w:val="19"/>
                <w:szCs w:val="19"/>
              </w:rPr>
            </w:pPr>
          </w:p>
          <w:p w14:paraId="3392EB00" w14:textId="77777777" w:rsidR="00032543" w:rsidRDefault="00032543" w:rsidP="00032543">
            <w:pPr>
              <w:autoSpaceDE w:val="0"/>
              <w:autoSpaceDN w:val="0"/>
              <w:adjustRightInd w:val="0"/>
              <w:spacing w:line="241" w:lineRule="atLeast"/>
              <w:rPr>
                <w:rFonts w:asciiTheme="minorHAnsi" w:hAnsiTheme="minorHAnsi" w:cstheme="minorHAnsi"/>
                <w:color w:val="000000"/>
                <w:sz w:val="19"/>
                <w:szCs w:val="19"/>
              </w:rPr>
            </w:pPr>
            <w:r w:rsidRPr="001C0D30">
              <w:rPr>
                <w:rFonts w:asciiTheme="minorHAnsi" w:hAnsiTheme="minorHAnsi" w:cstheme="minorHAnsi"/>
                <w:color w:val="000000"/>
                <w:sz w:val="19"/>
                <w:szCs w:val="19"/>
              </w:rPr>
              <w:t>Cardio-selective Beta Blockers are considered safe for CT Coronary Angiograms and deemed essential for lowering of blood pressure for these procedures.</w:t>
            </w:r>
          </w:p>
          <w:p w14:paraId="264E2FD9" w14:textId="77777777" w:rsidR="00A42D39" w:rsidRDefault="00A42D39" w:rsidP="00032543">
            <w:pPr>
              <w:autoSpaceDE w:val="0"/>
              <w:autoSpaceDN w:val="0"/>
              <w:adjustRightInd w:val="0"/>
              <w:spacing w:line="241" w:lineRule="atLeast"/>
              <w:rPr>
                <w:rFonts w:asciiTheme="minorHAnsi" w:hAnsiTheme="minorHAnsi" w:cstheme="minorHAnsi"/>
                <w:b/>
                <w:color w:val="000000"/>
                <w:sz w:val="19"/>
                <w:szCs w:val="19"/>
              </w:rPr>
            </w:pPr>
          </w:p>
          <w:p w14:paraId="208E714C" w14:textId="77777777" w:rsidR="00032543" w:rsidRPr="001C0D30" w:rsidRDefault="00032543" w:rsidP="00032543">
            <w:pPr>
              <w:autoSpaceDE w:val="0"/>
              <w:autoSpaceDN w:val="0"/>
              <w:adjustRightInd w:val="0"/>
              <w:spacing w:line="241" w:lineRule="atLeast"/>
              <w:rPr>
                <w:rFonts w:asciiTheme="minorHAnsi" w:hAnsiTheme="minorHAnsi" w:cstheme="minorHAnsi"/>
                <w:b/>
                <w:color w:val="000000"/>
                <w:sz w:val="19"/>
                <w:szCs w:val="19"/>
              </w:rPr>
            </w:pPr>
            <w:r w:rsidRPr="001C0D30">
              <w:rPr>
                <w:rFonts w:asciiTheme="minorHAnsi" w:hAnsiTheme="minorHAnsi" w:cstheme="minorHAnsi"/>
                <w:b/>
                <w:color w:val="000000"/>
                <w:sz w:val="19"/>
                <w:szCs w:val="19"/>
              </w:rPr>
              <w:t xml:space="preserve">Effect on </w:t>
            </w:r>
            <w:r w:rsidR="001C0D30" w:rsidRPr="001C0D30">
              <w:rPr>
                <w:rFonts w:asciiTheme="minorHAnsi" w:hAnsiTheme="minorHAnsi" w:cstheme="minorHAnsi"/>
                <w:b/>
                <w:color w:val="000000"/>
                <w:sz w:val="19"/>
                <w:szCs w:val="19"/>
              </w:rPr>
              <w:t>t</w:t>
            </w:r>
            <w:r w:rsidRPr="001C0D30">
              <w:rPr>
                <w:rFonts w:asciiTheme="minorHAnsi" w:hAnsiTheme="minorHAnsi" w:cstheme="minorHAnsi"/>
                <w:b/>
                <w:color w:val="000000"/>
                <w:sz w:val="19"/>
                <w:szCs w:val="19"/>
              </w:rPr>
              <w:t xml:space="preserve">hyroid </w:t>
            </w:r>
            <w:r w:rsidR="001C0D30" w:rsidRPr="001C0D30">
              <w:rPr>
                <w:rFonts w:asciiTheme="minorHAnsi" w:hAnsiTheme="minorHAnsi" w:cstheme="minorHAnsi"/>
                <w:b/>
                <w:color w:val="000000"/>
                <w:sz w:val="19"/>
                <w:szCs w:val="19"/>
              </w:rPr>
              <w:t>t</w:t>
            </w:r>
            <w:r w:rsidRPr="001C0D30">
              <w:rPr>
                <w:rFonts w:asciiTheme="minorHAnsi" w:hAnsiTheme="minorHAnsi" w:cstheme="minorHAnsi"/>
                <w:b/>
                <w:color w:val="000000"/>
                <w:sz w:val="19"/>
                <w:szCs w:val="19"/>
              </w:rPr>
              <w:t>ests</w:t>
            </w:r>
          </w:p>
          <w:p w14:paraId="139D45CE" w14:textId="77777777" w:rsidR="00032543" w:rsidRDefault="00032543" w:rsidP="00032543">
            <w:pPr>
              <w:autoSpaceDE w:val="0"/>
              <w:autoSpaceDN w:val="0"/>
              <w:adjustRightInd w:val="0"/>
              <w:spacing w:line="241" w:lineRule="atLeast"/>
              <w:rPr>
                <w:rFonts w:asciiTheme="minorHAnsi" w:hAnsiTheme="minorHAnsi" w:cstheme="minorHAnsi"/>
                <w:color w:val="000000"/>
                <w:sz w:val="19"/>
                <w:szCs w:val="19"/>
              </w:rPr>
            </w:pPr>
            <w:r w:rsidRPr="001C0D30">
              <w:rPr>
                <w:rFonts w:asciiTheme="minorHAnsi" w:hAnsiTheme="minorHAnsi" w:cstheme="minorHAnsi"/>
                <w:color w:val="000000"/>
                <w:sz w:val="19"/>
                <w:szCs w:val="19"/>
              </w:rPr>
              <w:t xml:space="preserve">If iodine-containing isotopes are to be administered for the diagnosis of thyroid disease, the iodine-binding capacity of thyroid tissue may be reduced for up to </w:t>
            </w:r>
            <w:r w:rsidR="001C0D30" w:rsidRPr="001C0D30">
              <w:rPr>
                <w:rFonts w:asciiTheme="minorHAnsi" w:hAnsiTheme="minorHAnsi" w:cstheme="minorHAnsi"/>
                <w:color w:val="000000"/>
                <w:sz w:val="19"/>
                <w:szCs w:val="19"/>
              </w:rPr>
              <w:t>two</w:t>
            </w:r>
            <w:r w:rsidRPr="001C0D30">
              <w:rPr>
                <w:rFonts w:asciiTheme="minorHAnsi" w:hAnsiTheme="minorHAnsi" w:cstheme="minorHAnsi"/>
                <w:color w:val="000000"/>
                <w:sz w:val="19"/>
                <w:szCs w:val="19"/>
              </w:rPr>
              <w:t xml:space="preserve"> weeks after contrast medium administration. Thyroid function tests that do not dep</w:t>
            </w:r>
            <w:r w:rsidR="001C0D30" w:rsidRPr="001C0D30">
              <w:rPr>
                <w:rFonts w:asciiTheme="minorHAnsi" w:hAnsiTheme="minorHAnsi" w:cstheme="minorHAnsi"/>
                <w:color w:val="000000"/>
                <w:sz w:val="19"/>
                <w:szCs w:val="19"/>
              </w:rPr>
              <w:t xml:space="preserve">end on iodine estimation, e.g. </w:t>
            </w:r>
            <w:r w:rsidRPr="001C0D30">
              <w:rPr>
                <w:rFonts w:asciiTheme="minorHAnsi" w:hAnsiTheme="minorHAnsi" w:cstheme="minorHAnsi"/>
                <w:color w:val="000000"/>
                <w:sz w:val="19"/>
                <w:szCs w:val="19"/>
              </w:rPr>
              <w:t>T3 resin uptake or direct thyroxine assays, are not affected.</w:t>
            </w:r>
          </w:p>
          <w:p w14:paraId="138BB778" w14:textId="77777777" w:rsidR="001C0D30" w:rsidRDefault="001C0D30" w:rsidP="00032543">
            <w:pPr>
              <w:autoSpaceDE w:val="0"/>
              <w:autoSpaceDN w:val="0"/>
              <w:adjustRightInd w:val="0"/>
              <w:spacing w:line="241" w:lineRule="atLeast"/>
              <w:rPr>
                <w:rFonts w:asciiTheme="minorHAnsi" w:hAnsiTheme="minorHAnsi" w:cstheme="minorHAnsi"/>
                <w:color w:val="000000"/>
                <w:sz w:val="19"/>
                <w:szCs w:val="19"/>
              </w:rPr>
            </w:pPr>
          </w:p>
          <w:p w14:paraId="720A42F1" w14:textId="77777777" w:rsidR="00032543" w:rsidRPr="001C0D30" w:rsidRDefault="001C0D30" w:rsidP="00032543">
            <w:pPr>
              <w:rPr>
                <w:rFonts w:asciiTheme="minorHAnsi" w:hAnsiTheme="minorHAnsi" w:cstheme="minorHAnsi"/>
                <w:b/>
                <w:bCs/>
                <w:sz w:val="19"/>
                <w:szCs w:val="19"/>
                <w:lang w:val="en-GB"/>
              </w:rPr>
            </w:pPr>
            <w:r w:rsidRPr="001C0D30">
              <w:rPr>
                <w:rFonts w:asciiTheme="minorHAnsi" w:hAnsiTheme="minorHAnsi" w:cstheme="minorHAnsi"/>
                <w:b/>
                <w:bCs/>
                <w:sz w:val="19"/>
                <w:szCs w:val="19"/>
                <w:lang w:val="en-GB"/>
              </w:rPr>
              <w:t>Interleukin-2 t</w:t>
            </w:r>
            <w:r w:rsidR="00032543" w:rsidRPr="001C0D30">
              <w:rPr>
                <w:rFonts w:asciiTheme="minorHAnsi" w:hAnsiTheme="minorHAnsi" w:cstheme="minorHAnsi"/>
                <w:b/>
                <w:bCs/>
                <w:sz w:val="19"/>
                <w:szCs w:val="19"/>
                <w:lang w:val="en-GB"/>
              </w:rPr>
              <w:t>herapy</w:t>
            </w:r>
          </w:p>
          <w:p w14:paraId="0EB71B47" w14:textId="77777777" w:rsidR="00032543" w:rsidRDefault="00032543" w:rsidP="00032543">
            <w:pPr>
              <w:rPr>
                <w:rFonts w:asciiTheme="minorHAnsi" w:hAnsiTheme="minorHAnsi" w:cstheme="minorHAnsi"/>
                <w:sz w:val="19"/>
                <w:szCs w:val="19"/>
                <w:lang w:val="en-GB"/>
              </w:rPr>
            </w:pPr>
            <w:r w:rsidRPr="00EA3785">
              <w:rPr>
                <w:rFonts w:asciiTheme="minorHAnsi" w:hAnsiTheme="minorHAnsi" w:cstheme="minorHAnsi"/>
                <w:sz w:val="19"/>
                <w:szCs w:val="19"/>
                <w:lang w:val="en-GB"/>
              </w:rPr>
              <w:t>The RANZCR College Guidelines (2018), Recommendation 28 states:</w:t>
            </w:r>
          </w:p>
          <w:p w14:paraId="219E32DC" w14:textId="77777777" w:rsidR="00CD3A3F" w:rsidRPr="00EA3785" w:rsidRDefault="00CD3A3F" w:rsidP="00032543">
            <w:pPr>
              <w:rPr>
                <w:rFonts w:asciiTheme="minorHAnsi" w:hAnsiTheme="minorHAnsi" w:cstheme="minorHAnsi"/>
                <w:sz w:val="19"/>
                <w:szCs w:val="19"/>
                <w:lang w:val="en-GB"/>
              </w:rPr>
            </w:pPr>
          </w:p>
          <w:p w14:paraId="4D11E103" w14:textId="77777777" w:rsidR="00032543" w:rsidRPr="00EA3785" w:rsidRDefault="00032543" w:rsidP="004B06A9">
            <w:pPr>
              <w:autoSpaceDE w:val="0"/>
              <w:autoSpaceDN w:val="0"/>
              <w:ind w:left="720"/>
              <w:rPr>
                <w:rFonts w:asciiTheme="minorHAnsi" w:hAnsiTheme="minorHAnsi" w:cstheme="minorHAnsi"/>
                <w:color w:val="000000"/>
                <w:sz w:val="19"/>
                <w:szCs w:val="19"/>
              </w:rPr>
            </w:pPr>
            <w:r w:rsidRPr="001C0D30">
              <w:rPr>
                <w:rFonts w:asciiTheme="minorHAnsi" w:hAnsiTheme="minorHAnsi" w:cstheme="minorHAnsi"/>
                <w:i/>
                <w:sz w:val="19"/>
                <w:szCs w:val="19"/>
                <w:lang w:val="en-GB" w:eastAsia="en-GB"/>
              </w:rPr>
              <w:t>Patients currently taking or who have finished IL-2 therapy in the past 6 months should be cautioned regarding a possible mild increase in the risk of a delayed anaphylactic contrast media reaction. No further precautions are required.</w:t>
            </w:r>
          </w:p>
        </w:tc>
      </w:tr>
    </w:tbl>
    <w:p w14:paraId="7D1D8502" w14:textId="77777777" w:rsidR="00A030AB" w:rsidRDefault="00A030AB"/>
    <w:p w14:paraId="7084A605" w14:textId="77777777" w:rsidR="00A030AB" w:rsidRDefault="00A030AB">
      <w:pPr>
        <w:spacing w:after="200"/>
      </w:pPr>
      <w:r>
        <w:br w:type="page"/>
      </w:r>
    </w:p>
    <w:p w14:paraId="2BE1F73E" w14:textId="77777777" w:rsidR="00A030AB" w:rsidRDefault="00A030AB"/>
    <w:tbl>
      <w:tblPr>
        <w:tblStyle w:val="TableGrid"/>
        <w:tblW w:w="10237" w:type="dxa"/>
        <w:tblInd w:w="-147" w:type="dxa"/>
        <w:tblCellMar>
          <w:top w:w="108" w:type="dxa"/>
          <w:bottom w:w="108" w:type="dxa"/>
        </w:tblCellMar>
        <w:tblLook w:val="04A0" w:firstRow="1" w:lastRow="0" w:firstColumn="1" w:lastColumn="0" w:noHBand="0" w:noVBand="1"/>
      </w:tblPr>
      <w:tblGrid>
        <w:gridCol w:w="1725"/>
        <w:gridCol w:w="8512"/>
      </w:tblGrid>
      <w:tr w:rsidR="00032543" w14:paraId="5DC64658" w14:textId="77777777" w:rsidTr="00A42D39">
        <w:tc>
          <w:tcPr>
            <w:tcW w:w="1725" w:type="dxa"/>
          </w:tcPr>
          <w:p w14:paraId="16D6CEE2" w14:textId="77777777" w:rsidR="00032543" w:rsidRPr="00EA3785" w:rsidRDefault="00032543" w:rsidP="00032543">
            <w:pPr>
              <w:rPr>
                <w:rFonts w:asciiTheme="minorHAnsi" w:hAnsiTheme="minorHAnsi" w:cstheme="minorHAnsi"/>
                <w:b/>
                <w:sz w:val="19"/>
                <w:szCs w:val="19"/>
              </w:rPr>
            </w:pPr>
            <w:r w:rsidRPr="00EA3785">
              <w:rPr>
                <w:rFonts w:asciiTheme="minorHAnsi" w:hAnsiTheme="minorHAnsi" w:cstheme="minorHAnsi"/>
                <w:b/>
                <w:sz w:val="19"/>
                <w:szCs w:val="19"/>
              </w:rPr>
              <w:t>Dosage guideline</w:t>
            </w:r>
          </w:p>
        </w:tc>
        <w:tc>
          <w:tcPr>
            <w:tcW w:w="8512" w:type="dxa"/>
          </w:tcPr>
          <w:p w14:paraId="49CB60E9" w14:textId="77777777" w:rsidR="00032543" w:rsidRDefault="00032543" w:rsidP="00032543">
            <w:pPr>
              <w:autoSpaceDE w:val="0"/>
              <w:autoSpaceDN w:val="0"/>
              <w:adjustRightInd w:val="0"/>
              <w:rPr>
                <w:rFonts w:asciiTheme="minorHAnsi" w:hAnsiTheme="minorHAnsi" w:cstheme="minorHAnsi"/>
                <w:sz w:val="19"/>
                <w:szCs w:val="19"/>
              </w:rPr>
            </w:pPr>
            <w:r w:rsidRPr="00EA3785">
              <w:rPr>
                <w:rFonts w:asciiTheme="minorHAnsi" w:hAnsiTheme="minorHAnsi" w:cstheme="minorHAnsi"/>
                <w:sz w:val="19"/>
                <w:szCs w:val="19"/>
              </w:rPr>
              <w:t xml:space="preserve">&lt;CONTRAST MEDIA NAME&gt;: </w:t>
            </w:r>
            <w:r w:rsidRPr="00EA3785">
              <w:rPr>
                <w:rFonts w:asciiTheme="minorHAnsi" w:hAnsiTheme="minorHAnsi" w:cstheme="minorHAnsi"/>
                <w:i/>
                <w:sz w:val="19"/>
                <w:szCs w:val="19"/>
              </w:rPr>
              <w:t>XXX</w:t>
            </w:r>
            <w:r w:rsidRPr="00EA3785">
              <w:rPr>
                <w:rFonts w:asciiTheme="minorHAnsi" w:hAnsiTheme="minorHAnsi" w:cstheme="minorHAnsi"/>
                <w:sz w:val="19"/>
                <w:szCs w:val="19"/>
              </w:rPr>
              <w:t xml:space="preserve"> Milligram/mL,</w:t>
            </w:r>
            <w:r w:rsidR="00AD4899">
              <w:rPr>
                <w:rFonts w:asciiTheme="minorHAnsi" w:hAnsiTheme="minorHAnsi" w:cstheme="minorHAnsi"/>
                <w:sz w:val="19"/>
                <w:szCs w:val="19"/>
              </w:rPr>
              <w:t xml:space="preserve"> (based on product information)</w:t>
            </w:r>
            <w:r w:rsidR="00AD4899" w:rsidRPr="00AD4899">
              <w:rPr>
                <w:rFonts w:asciiTheme="minorHAnsi" w:hAnsiTheme="minorHAnsi" w:cstheme="minorHAnsi"/>
                <w:sz w:val="19"/>
                <w:szCs w:val="19"/>
                <w:vertAlign w:val="superscript"/>
              </w:rPr>
              <w:t>7</w:t>
            </w:r>
          </w:p>
          <w:p w14:paraId="1A5195F3" w14:textId="77777777" w:rsidR="001C0D30" w:rsidRPr="00EA3785" w:rsidRDefault="001C0D30" w:rsidP="00032543">
            <w:pPr>
              <w:autoSpaceDE w:val="0"/>
              <w:autoSpaceDN w:val="0"/>
              <w:adjustRightInd w:val="0"/>
              <w:rPr>
                <w:rFonts w:asciiTheme="minorHAnsi" w:hAnsiTheme="minorHAnsi" w:cstheme="minorHAnsi"/>
                <w:sz w:val="19"/>
                <w:szCs w:val="19"/>
              </w:rPr>
            </w:pPr>
          </w:p>
          <w:p w14:paraId="46F253CF" w14:textId="77777777" w:rsidR="00032543" w:rsidRDefault="00032543" w:rsidP="00032543">
            <w:pPr>
              <w:autoSpaceDE w:val="0"/>
              <w:autoSpaceDN w:val="0"/>
              <w:adjustRightInd w:val="0"/>
              <w:rPr>
                <w:rFonts w:asciiTheme="minorHAnsi" w:hAnsiTheme="minorHAnsi" w:cstheme="minorHAnsi"/>
                <w:sz w:val="19"/>
                <w:szCs w:val="19"/>
              </w:rPr>
            </w:pPr>
            <w:r w:rsidRPr="00EA3785">
              <w:rPr>
                <w:rFonts w:asciiTheme="minorHAnsi" w:hAnsiTheme="minorHAnsi" w:cstheme="minorHAnsi"/>
                <w:sz w:val="19"/>
                <w:szCs w:val="19"/>
              </w:rPr>
              <w:t xml:space="preserve">&lt;Specific procedures may have specific amounts – to be defined by </w:t>
            </w:r>
            <w:r w:rsidR="001C0D30">
              <w:rPr>
                <w:rFonts w:asciiTheme="minorHAnsi" w:hAnsiTheme="minorHAnsi" w:cstheme="minorHAnsi"/>
                <w:sz w:val="19"/>
                <w:szCs w:val="19"/>
              </w:rPr>
              <w:t>LHD</w:t>
            </w:r>
            <w:r w:rsidRPr="00EA3785">
              <w:rPr>
                <w:rFonts w:asciiTheme="minorHAnsi" w:hAnsiTheme="minorHAnsi" w:cstheme="minorHAnsi"/>
                <w:sz w:val="19"/>
                <w:szCs w:val="19"/>
              </w:rPr>
              <w:t>&gt;</w:t>
            </w:r>
            <w:r w:rsidR="00AD4899" w:rsidRPr="00AD4899">
              <w:rPr>
                <w:rFonts w:asciiTheme="minorHAnsi" w:hAnsiTheme="minorHAnsi" w:cstheme="minorHAnsi"/>
                <w:sz w:val="19"/>
                <w:szCs w:val="19"/>
                <w:vertAlign w:val="superscript"/>
              </w:rPr>
              <w:t>8</w:t>
            </w:r>
          </w:p>
          <w:p w14:paraId="5985FF71" w14:textId="77777777" w:rsidR="001C0D30" w:rsidRPr="00EA3785" w:rsidRDefault="001C0D30" w:rsidP="00032543">
            <w:pPr>
              <w:autoSpaceDE w:val="0"/>
              <w:autoSpaceDN w:val="0"/>
              <w:adjustRightInd w:val="0"/>
              <w:rPr>
                <w:rFonts w:asciiTheme="minorHAnsi" w:hAnsiTheme="minorHAnsi" w:cstheme="minorHAnsi"/>
                <w:sz w:val="19"/>
                <w:szCs w:val="19"/>
              </w:rPr>
            </w:pPr>
          </w:p>
          <w:p w14:paraId="04A58AB0" w14:textId="77777777" w:rsidR="00032543" w:rsidRPr="00EA3785" w:rsidRDefault="00032543" w:rsidP="00032543">
            <w:pPr>
              <w:autoSpaceDE w:val="0"/>
              <w:autoSpaceDN w:val="0"/>
              <w:adjustRightInd w:val="0"/>
              <w:rPr>
                <w:rFonts w:asciiTheme="minorHAnsi" w:hAnsiTheme="minorHAnsi" w:cstheme="minorHAnsi"/>
                <w:sz w:val="19"/>
                <w:szCs w:val="19"/>
              </w:rPr>
            </w:pPr>
            <w:r w:rsidRPr="00EA3785">
              <w:rPr>
                <w:rFonts w:asciiTheme="minorHAnsi" w:hAnsiTheme="minorHAnsi" w:cstheme="minorHAnsi"/>
                <w:sz w:val="19"/>
                <w:szCs w:val="19"/>
              </w:rPr>
              <w:t xml:space="preserve">In the event the dose given to the patient exceeds the limits set by this standing order, a verbal order for the additional </w:t>
            </w:r>
            <w:r w:rsidR="001C0D30">
              <w:rPr>
                <w:rFonts w:asciiTheme="minorHAnsi" w:hAnsiTheme="minorHAnsi" w:cstheme="minorHAnsi"/>
                <w:sz w:val="19"/>
                <w:szCs w:val="19"/>
              </w:rPr>
              <w:t>volume can be performed by the radiologist or medical o</w:t>
            </w:r>
            <w:r w:rsidRPr="00EA3785">
              <w:rPr>
                <w:rFonts w:asciiTheme="minorHAnsi" w:hAnsiTheme="minorHAnsi" w:cstheme="minorHAnsi"/>
                <w:sz w:val="19"/>
                <w:szCs w:val="19"/>
              </w:rPr>
              <w:t>fficer</w:t>
            </w:r>
            <w:r w:rsidR="001C0D30">
              <w:rPr>
                <w:rFonts w:asciiTheme="minorHAnsi" w:hAnsiTheme="minorHAnsi" w:cstheme="minorHAnsi"/>
                <w:sz w:val="19"/>
                <w:szCs w:val="19"/>
              </w:rPr>
              <w:t xml:space="preserve"> treating the patient (where a r</w:t>
            </w:r>
            <w:r w:rsidRPr="00EA3785">
              <w:rPr>
                <w:rFonts w:asciiTheme="minorHAnsi" w:hAnsiTheme="minorHAnsi" w:cstheme="minorHAnsi"/>
                <w:sz w:val="19"/>
                <w:szCs w:val="19"/>
              </w:rPr>
              <w:t>adiologist is not available). This should be followed by electronic or paper confirmation of contrast dose and volume within the patient’s health record within 24 hou</w:t>
            </w:r>
            <w:r w:rsidR="001C0D30">
              <w:rPr>
                <w:rFonts w:asciiTheme="minorHAnsi" w:hAnsiTheme="minorHAnsi" w:cstheme="minorHAnsi"/>
                <w:sz w:val="19"/>
                <w:szCs w:val="19"/>
              </w:rPr>
              <w:t>rs by the ordering radiologist/medical o</w:t>
            </w:r>
            <w:r w:rsidRPr="00EA3785">
              <w:rPr>
                <w:rFonts w:asciiTheme="minorHAnsi" w:hAnsiTheme="minorHAnsi" w:cstheme="minorHAnsi"/>
                <w:sz w:val="19"/>
                <w:szCs w:val="19"/>
              </w:rPr>
              <w:t>fficer.</w:t>
            </w:r>
          </w:p>
        </w:tc>
      </w:tr>
      <w:tr w:rsidR="00032543" w14:paraId="6C83E47E" w14:textId="77777777" w:rsidTr="00A42D39">
        <w:tc>
          <w:tcPr>
            <w:tcW w:w="1725" w:type="dxa"/>
          </w:tcPr>
          <w:p w14:paraId="1A8597F4" w14:textId="77777777" w:rsidR="00032543" w:rsidRPr="00EA3785" w:rsidRDefault="00032543" w:rsidP="00032543">
            <w:pPr>
              <w:rPr>
                <w:rFonts w:asciiTheme="minorHAnsi" w:hAnsiTheme="minorHAnsi" w:cstheme="minorHAnsi"/>
                <w:b/>
                <w:sz w:val="19"/>
                <w:szCs w:val="19"/>
              </w:rPr>
            </w:pPr>
            <w:r w:rsidRPr="00EA3785">
              <w:rPr>
                <w:rFonts w:asciiTheme="minorHAnsi" w:hAnsiTheme="minorHAnsi" w:cstheme="minorHAnsi"/>
                <w:b/>
                <w:sz w:val="19"/>
                <w:szCs w:val="19"/>
              </w:rPr>
              <w:t>Duration of therapy</w:t>
            </w:r>
          </w:p>
        </w:tc>
        <w:tc>
          <w:tcPr>
            <w:tcW w:w="8512" w:type="dxa"/>
          </w:tcPr>
          <w:p w14:paraId="12233A65" w14:textId="77777777" w:rsidR="00CD3A3F" w:rsidRPr="00EA3785" w:rsidRDefault="00032543" w:rsidP="00032543">
            <w:pPr>
              <w:rPr>
                <w:rFonts w:asciiTheme="minorHAnsi" w:hAnsiTheme="minorHAnsi" w:cstheme="minorHAnsi"/>
                <w:sz w:val="19"/>
                <w:szCs w:val="19"/>
              </w:rPr>
            </w:pPr>
            <w:r w:rsidRPr="00EA3785">
              <w:rPr>
                <w:rFonts w:asciiTheme="minorHAnsi" w:hAnsiTheme="minorHAnsi" w:cstheme="minorHAnsi"/>
                <w:sz w:val="19"/>
                <w:szCs w:val="19"/>
              </w:rPr>
              <w:t>Each PRESCRIPTION is individually ordered (once only)</w:t>
            </w:r>
            <w:r w:rsidR="001C0D30">
              <w:rPr>
                <w:rFonts w:asciiTheme="minorHAnsi" w:hAnsiTheme="minorHAnsi" w:cstheme="minorHAnsi"/>
                <w:sz w:val="19"/>
                <w:szCs w:val="19"/>
              </w:rPr>
              <w:t>.</w:t>
            </w:r>
            <w:r w:rsidR="00CD3A3F">
              <w:rPr>
                <w:rFonts w:asciiTheme="minorHAnsi" w:hAnsiTheme="minorHAnsi" w:cstheme="minorHAnsi"/>
                <w:sz w:val="19"/>
                <w:szCs w:val="19"/>
              </w:rPr>
              <w:t xml:space="preserve"> </w:t>
            </w:r>
          </w:p>
        </w:tc>
      </w:tr>
      <w:tr w:rsidR="00032543" w14:paraId="279CDE7F" w14:textId="77777777" w:rsidTr="00A42D39">
        <w:tc>
          <w:tcPr>
            <w:tcW w:w="1725" w:type="dxa"/>
          </w:tcPr>
          <w:p w14:paraId="1AE1B1A2" w14:textId="77777777" w:rsidR="00032543" w:rsidRPr="00EA3785" w:rsidRDefault="00032543" w:rsidP="00032543">
            <w:pPr>
              <w:rPr>
                <w:rFonts w:asciiTheme="minorHAnsi" w:hAnsiTheme="minorHAnsi" w:cstheme="minorHAnsi"/>
                <w:b/>
                <w:sz w:val="19"/>
                <w:szCs w:val="19"/>
              </w:rPr>
            </w:pPr>
            <w:r w:rsidRPr="00EA3785">
              <w:rPr>
                <w:rFonts w:asciiTheme="minorHAnsi" w:hAnsiTheme="minorHAnsi" w:cstheme="minorHAnsi"/>
                <w:b/>
                <w:sz w:val="19"/>
                <w:szCs w:val="19"/>
              </w:rPr>
              <w:t>Administration instructions</w:t>
            </w:r>
          </w:p>
        </w:tc>
        <w:tc>
          <w:tcPr>
            <w:tcW w:w="8512" w:type="dxa"/>
          </w:tcPr>
          <w:p w14:paraId="5F685111" w14:textId="77777777" w:rsidR="00032543" w:rsidRPr="00EA3785" w:rsidRDefault="00032543" w:rsidP="00032543">
            <w:pPr>
              <w:autoSpaceDE w:val="0"/>
              <w:autoSpaceDN w:val="0"/>
              <w:adjustRightInd w:val="0"/>
              <w:rPr>
                <w:rFonts w:asciiTheme="minorHAnsi" w:hAnsiTheme="minorHAnsi" w:cstheme="minorHAnsi"/>
                <w:color w:val="000000"/>
                <w:sz w:val="19"/>
                <w:szCs w:val="19"/>
              </w:rPr>
            </w:pPr>
            <w:r w:rsidRPr="00EA3785">
              <w:rPr>
                <w:rFonts w:asciiTheme="minorHAnsi" w:hAnsiTheme="minorHAnsi" w:cstheme="minorHAnsi"/>
                <w:color w:val="000000"/>
                <w:sz w:val="19"/>
                <w:szCs w:val="19"/>
              </w:rPr>
              <w:t xml:space="preserve">Administration should be according to the product information for the product used (determined by </w:t>
            </w:r>
            <w:r w:rsidR="001C0D30">
              <w:rPr>
                <w:rFonts w:asciiTheme="minorHAnsi" w:hAnsiTheme="minorHAnsi" w:cstheme="minorHAnsi"/>
                <w:color w:val="000000"/>
                <w:sz w:val="19"/>
                <w:szCs w:val="19"/>
              </w:rPr>
              <w:t>LHD</w:t>
            </w:r>
            <w:r w:rsidRPr="00EA3785">
              <w:rPr>
                <w:rFonts w:asciiTheme="minorHAnsi" w:hAnsiTheme="minorHAnsi" w:cstheme="minorHAnsi"/>
                <w:color w:val="000000"/>
                <w:sz w:val="19"/>
                <w:szCs w:val="19"/>
              </w:rPr>
              <w:t>). T</w:t>
            </w:r>
            <w:r w:rsidRPr="00EA3785">
              <w:rPr>
                <w:rFonts w:asciiTheme="minorHAnsi" w:hAnsiTheme="minorHAnsi" w:cstheme="minorHAnsi"/>
                <w:sz w:val="19"/>
                <w:szCs w:val="19"/>
              </w:rPr>
              <w:t xml:space="preserve">he information in the standing order should be dated and reviewed annually to ensure currency. </w:t>
            </w:r>
            <w:r w:rsidRPr="00EA3785">
              <w:rPr>
                <w:rFonts w:asciiTheme="minorHAnsi" w:hAnsiTheme="minorHAnsi" w:cstheme="minorHAnsi"/>
                <w:color w:val="000000"/>
                <w:sz w:val="19"/>
                <w:szCs w:val="19"/>
              </w:rPr>
              <w:t xml:space="preserve">The below information is an example (italics). </w:t>
            </w:r>
          </w:p>
          <w:p w14:paraId="3FFAE260" w14:textId="77777777" w:rsidR="00032543" w:rsidRPr="00AB094D" w:rsidRDefault="00032543" w:rsidP="00032543">
            <w:pPr>
              <w:autoSpaceDE w:val="0"/>
              <w:autoSpaceDN w:val="0"/>
              <w:adjustRightInd w:val="0"/>
              <w:rPr>
                <w:rFonts w:asciiTheme="minorHAnsi" w:hAnsiTheme="minorHAnsi" w:cstheme="minorHAnsi"/>
                <w:color w:val="000000"/>
                <w:sz w:val="19"/>
                <w:szCs w:val="19"/>
              </w:rPr>
            </w:pPr>
          </w:p>
          <w:p w14:paraId="16CB579E" w14:textId="77777777" w:rsidR="00032543" w:rsidRPr="001C0D30" w:rsidRDefault="00032543" w:rsidP="00032543">
            <w:pPr>
              <w:autoSpaceDE w:val="0"/>
              <w:autoSpaceDN w:val="0"/>
              <w:adjustRightInd w:val="0"/>
              <w:rPr>
                <w:rFonts w:asciiTheme="minorHAnsi" w:hAnsiTheme="minorHAnsi" w:cstheme="minorHAnsi"/>
                <w:i/>
                <w:color w:val="000000"/>
                <w:sz w:val="19"/>
                <w:szCs w:val="19"/>
              </w:rPr>
            </w:pPr>
            <w:r w:rsidRPr="001C0D30">
              <w:rPr>
                <w:rFonts w:asciiTheme="minorHAnsi" w:hAnsiTheme="minorHAnsi" w:cstheme="minorHAnsi"/>
                <w:i/>
                <w:color w:val="000000"/>
                <w:sz w:val="19"/>
                <w:szCs w:val="19"/>
              </w:rPr>
              <w:t xml:space="preserve">Visually inspect </w:t>
            </w:r>
            <w:r w:rsidRPr="001C0D30">
              <w:rPr>
                <w:rFonts w:asciiTheme="minorHAnsi" w:hAnsiTheme="minorHAnsi" w:cstheme="minorHAnsi"/>
                <w:i/>
                <w:sz w:val="19"/>
                <w:szCs w:val="19"/>
              </w:rPr>
              <w:t xml:space="preserve">&lt;CONTRAST MEDIA NAME&gt; </w:t>
            </w:r>
            <w:r w:rsidRPr="001C0D30">
              <w:rPr>
                <w:rFonts w:asciiTheme="minorHAnsi" w:hAnsiTheme="minorHAnsi" w:cstheme="minorHAnsi"/>
                <w:i/>
                <w:color w:val="000000"/>
                <w:sz w:val="19"/>
                <w:szCs w:val="19"/>
              </w:rPr>
              <w:t xml:space="preserve">for particulate matter and/or discoloration, whenever solution and container permit. Do not administer </w:t>
            </w:r>
            <w:r w:rsidRPr="001C0D30">
              <w:rPr>
                <w:rFonts w:asciiTheme="minorHAnsi" w:hAnsiTheme="minorHAnsi" w:cstheme="minorHAnsi"/>
                <w:i/>
                <w:sz w:val="19"/>
                <w:szCs w:val="19"/>
              </w:rPr>
              <w:t xml:space="preserve">&lt;CONTRAST MEDIA NAME&gt; </w:t>
            </w:r>
            <w:r w:rsidRPr="001C0D30">
              <w:rPr>
                <w:rFonts w:asciiTheme="minorHAnsi" w:hAnsiTheme="minorHAnsi" w:cstheme="minorHAnsi"/>
                <w:i/>
                <w:color w:val="000000"/>
                <w:sz w:val="19"/>
                <w:szCs w:val="19"/>
              </w:rPr>
              <w:t>if particulate matter and/or discoloration is observed.</w:t>
            </w:r>
          </w:p>
          <w:p w14:paraId="11ECFA9B" w14:textId="77777777" w:rsidR="00032543" w:rsidRPr="001C0D30" w:rsidRDefault="00032543" w:rsidP="00032543">
            <w:pPr>
              <w:autoSpaceDE w:val="0"/>
              <w:autoSpaceDN w:val="0"/>
              <w:adjustRightInd w:val="0"/>
              <w:rPr>
                <w:rFonts w:asciiTheme="minorHAnsi" w:hAnsiTheme="minorHAnsi" w:cstheme="minorHAnsi"/>
                <w:i/>
                <w:color w:val="000000"/>
                <w:sz w:val="19"/>
                <w:szCs w:val="19"/>
              </w:rPr>
            </w:pPr>
          </w:p>
          <w:p w14:paraId="4B56B43F" w14:textId="77777777" w:rsidR="00032543" w:rsidRPr="001C0D30" w:rsidRDefault="00032543" w:rsidP="00032543">
            <w:pPr>
              <w:autoSpaceDE w:val="0"/>
              <w:autoSpaceDN w:val="0"/>
              <w:adjustRightInd w:val="0"/>
              <w:rPr>
                <w:rFonts w:asciiTheme="minorHAnsi" w:hAnsiTheme="minorHAnsi" w:cstheme="minorHAnsi"/>
                <w:i/>
                <w:color w:val="000000"/>
                <w:sz w:val="19"/>
                <w:szCs w:val="19"/>
              </w:rPr>
            </w:pPr>
            <w:r w:rsidRPr="001C0D30">
              <w:rPr>
                <w:rFonts w:asciiTheme="minorHAnsi" w:hAnsiTheme="minorHAnsi" w:cstheme="minorHAnsi"/>
                <w:i/>
                <w:color w:val="000000"/>
                <w:sz w:val="19"/>
                <w:szCs w:val="19"/>
              </w:rPr>
              <w:t xml:space="preserve">Determine the volume and concentration of </w:t>
            </w:r>
            <w:r w:rsidRPr="001C0D30">
              <w:rPr>
                <w:rFonts w:asciiTheme="minorHAnsi" w:hAnsiTheme="minorHAnsi" w:cstheme="minorHAnsi"/>
                <w:i/>
                <w:sz w:val="19"/>
                <w:szCs w:val="19"/>
              </w:rPr>
              <w:t xml:space="preserve">&lt;CONTRAST MEDIA NAME&gt;  </w:t>
            </w:r>
            <w:r w:rsidRPr="001C0D30">
              <w:rPr>
                <w:rFonts w:asciiTheme="minorHAnsi" w:hAnsiTheme="minorHAnsi" w:cstheme="minorHAnsi"/>
                <w:i/>
                <w:color w:val="000000"/>
                <w:sz w:val="19"/>
                <w:szCs w:val="19"/>
              </w:rPr>
              <w:t xml:space="preserve">Injection to be used taking into account factors such as age, body weight, size of the vessel and the rate of blood flow within the vessel; consider also extent of opacification required, structure(s) or area to be examined, disease processes affecting the patient, and equipment and technique to be employed. </w:t>
            </w:r>
          </w:p>
          <w:p w14:paraId="584DA79B" w14:textId="77777777" w:rsidR="00032543" w:rsidRPr="001C0D30" w:rsidRDefault="00032543" w:rsidP="00032543">
            <w:pPr>
              <w:autoSpaceDE w:val="0"/>
              <w:autoSpaceDN w:val="0"/>
              <w:adjustRightInd w:val="0"/>
              <w:rPr>
                <w:rFonts w:asciiTheme="minorHAnsi" w:hAnsiTheme="minorHAnsi" w:cstheme="minorHAnsi"/>
                <w:i/>
                <w:color w:val="000000"/>
                <w:sz w:val="19"/>
                <w:szCs w:val="19"/>
              </w:rPr>
            </w:pPr>
          </w:p>
          <w:p w14:paraId="3623D387" w14:textId="77777777" w:rsidR="00A42D39" w:rsidRDefault="00032543" w:rsidP="00032543">
            <w:pPr>
              <w:autoSpaceDE w:val="0"/>
              <w:autoSpaceDN w:val="0"/>
              <w:adjustRightInd w:val="0"/>
              <w:rPr>
                <w:rFonts w:asciiTheme="minorHAnsi" w:hAnsiTheme="minorHAnsi" w:cstheme="minorHAnsi"/>
                <w:i/>
                <w:color w:val="000000"/>
                <w:sz w:val="19"/>
                <w:szCs w:val="19"/>
              </w:rPr>
            </w:pPr>
            <w:r w:rsidRPr="001C0D30">
              <w:rPr>
                <w:rFonts w:asciiTheme="minorHAnsi" w:hAnsiTheme="minorHAnsi" w:cstheme="minorHAnsi"/>
                <w:i/>
                <w:color w:val="000000"/>
                <w:sz w:val="19"/>
                <w:szCs w:val="19"/>
              </w:rPr>
              <w:t xml:space="preserve">Warming </w:t>
            </w:r>
            <w:r w:rsidRPr="001C0D30">
              <w:rPr>
                <w:rFonts w:asciiTheme="minorHAnsi" w:hAnsiTheme="minorHAnsi" w:cstheme="minorHAnsi"/>
                <w:i/>
                <w:sz w:val="19"/>
                <w:szCs w:val="19"/>
              </w:rPr>
              <w:t xml:space="preserve">&lt;CONTRAST MEDIA NAME&gt; </w:t>
            </w:r>
            <w:r w:rsidRPr="001C0D30">
              <w:rPr>
                <w:rFonts w:asciiTheme="minorHAnsi" w:hAnsiTheme="minorHAnsi" w:cstheme="minorHAnsi"/>
                <w:i/>
                <w:color w:val="000000"/>
                <w:sz w:val="19"/>
                <w:szCs w:val="19"/>
              </w:rPr>
              <w:t>to body temperature shortly before administration may help improve tolerability and ease of injection.</w:t>
            </w:r>
          </w:p>
          <w:p w14:paraId="1776C34D" w14:textId="77777777" w:rsidR="00A42D39" w:rsidRPr="00A42D39" w:rsidRDefault="00A42D39" w:rsidP="00032543">
            <w:pPr>
              <w:autoSpaceDE w:val="0"/>
              <w:autoSpaceDN w:val="0"/>
              <w:adjustRightInd w:val="0"/>
              <w:rPr>
                <w:rFonts w:asciiTheme="minorHAnsi" w:hAnsiTheme="minorHAnsi" w:cstheme="minorHAnsi"/>
                <w:i/>
                <w:color w:val="000000"/>
                <w:sz w:val="19"/>
                <w:szCs w:val="19"/>
              </w:rPr>
            </w:pPr>
          </w:p>
          <w:p w14:paraId="422F31F8" w14:textId="77777777" w:rsidR="001C0D30" w:rsidRPr="00EA3785" w:rsidRDefault="00032543" w:rsidP="001C0D30">
            <w:pPr>
              <w:rPr>
                <w:rFonts w:asciiTheme="minorHAnsi" w:hAnsiTheme="minorHAnsi" w:cstheme="minorHAnsi"/>
                <w:sz w:val="19"/>
                <w:szCs w:val="19"/>
              </w:rPr>
            </w:pPr>
            <w:r w:rsidRPr="00EA3785">
              <w:rPr>
                <w:rFonts w:asciiTheme="minorHAnsi" w:hAnsiTheme="minorHAnsi" w:cstheme="minorHAnsi"/>
                <w:sz w:val="19"/>
                <w:szCs w:val="19"/>
              </w:rPr>
              <w:t>The rate of administration will be determined by patient weight, scan type, venou</w:t>
            </w:r>
            <w:r w:rsidR="001C0D30">
              <w:rPr>
                <w:rFonts w:asciiTheme="minorHAnsi" w:hAnsiTheme="minorHAnsi" w:cstheme="minorHAnsi"/>
                <w:sz w:val="19"/>
                <w:szCs w:val="19"/>
              </w:rPr>
              <w:t>s access device and patency of p</w:t>
            </w:r>
            <w:r w:rsidRPr="00EA3785">
              <w:rPr>
                <w:rFonts w:asciiTheme="minorHAnsi" w:hAnsiTheme="minorHAnsi" w:cstheme="minorHAnsi"/>
                <w:sz w:val="19"/>
                <w:szCs w:val="19"/>
              </w:rPr>
              <w:t xml:space="preserve">eripheral </w:t>
            </w:r>
            <w:r w:rsidR="001C0D30">
              <w:rPr>
                <w:rFonts w:asciiTheme="minorHAnsi" w:hAnsiTheme="minorHAnsi" w:cstheme="minorHAnsi"/>
                <w:sz w:val="19"/>
                <w:szCs w:val="19"/>
              </w:rPr>
              <w:t>intravenous c</w:t>
            </w:r>
            <w:r w:rsidRPr="00EA3785">
              <w:rPr>
                <w:rFonts w:asciiTheme="minorHAnsi" w:hAnsiTheme="minorHAnsi" w:cstheme="minorHAnsi"/>
                <w:sz w:val="19"/>
                <w:szCs w:val="19"/>
              </w:rPr>
              <w:t xml:space="preserve">annula (PIVC). For patient safety, the aim is to administer at the lowest possible rate necessary to provide optimum image quality. </w:t>
            </w:r>
          </w:p>
        </w:tc>
      </w:tr>
      <w:tr w:rsidR="00032543" w14:paraId="5D69BCF8" w14:textId="77777777" w:rsidTr="00A42D39">
        <w:tc>
          <w:tcPr>
            <w:tcW w:w="1725" w:type="dxa"/>
          </w:tcPr>
          <w:p w14:paraId="48107B17" w14:textId="77777777" w:rsidR="00032543" w:rsidRPr="00EA3785" w:rsidRDefault="00032543" w:rsidP="00032543">
            <w:pPr>
              <w:rPr>
                <w:rFonts w:asciiTheme="minorHAnsi" w:hAnsiTheme="minorHAnsi" w:cstheme="minorHAnsi"/>
                <w:b/>
                <w:sz w:val="19"/>
                <w:szCs w:val="19"/>
              </w:rPr>
            </w:pPr>
            <w:r w:rsidRPr="00EA3785">
              <w:rPr>
                <w:rFonts w:asciiTheme="minorHAnsi" w:hAnsiTheme="minorHAnsi" w:cstheme="minorHAnsi"/>
                <w:b/>
                <w:sz w:val="19"/>
                <w:szCs w:val="19"/>
              </w:rPr>
              <w:t>Compatibilities</w:t>
            </w:r>
          </w:p>
        </w:tc>
        <w:tc>
          <w:tcPr>
            <w:tcW w:w="8512" w:type="dxa"/>
          </w:tcPr>
          <w:p w14:paraId="3B4EE9BD" w14:textId="77777777" w:rsidR="00032543" w:rsidRPr="00A42D39" w:rsidRDefault="00032543" w:rsidP="00A42D39">
            <w:pPr>
              <w:pStyle w:val="ListParagraph"/>
              <w:ind w:left="0"/>
              <w:rPr>
                <w:rFonts w:cstheme="minorHAnsi"/>
                <w:sz w:val="19"/>
                <w:szCs w:val="19"/>
              </w:rPr>
            </w:pPr>
            <w:r w:rsidRPr="001C0D30">
              <w:rPr>
                <w:rFonts w:cstheme="minorHAnsi"/>
                <w:sz w:val="19"/>
                <w:szCs w:val="19"/>
              </w:rPr>
              <w:t xml:space="preserve">Although no incompatibility has been found, &lt;CONTRAST MEDIA NAME&gt; should not be directly mixed with other drugs. A separate syringe should be </w:t>
            </w:r>
            <w:proofErr w:type="gramStart"/>
            <w:r w:rsidRPr="001C0D30">
              <w:rPr>
                <w:rFonts w:cstheme="minorHAnsi"/>
                <w:sz w:val="19"/>
                <w:szCs w:val="19"/>
              </w:rPr>
              <w:t>used</w:t>
            </w:r>
            <w:proofErr w:type="gramEnd"/>
            <w:r w:rsidRPr="001C0D30">
              <w:rPr>
                <w:rFonts w:cstheme="minorHAnsi"/>
                <w:sz w:val="19"/>
                <w:szCs w:val="19"/>
              </w:rPr>
              <w:t xml:space="preserve"> and the injection needle should be flushed between administrations of &lt;CONTRAST MEDIA NAME&gt; and other drugs w</w:t>
            </w:r>
            <w:r w:rsidR="001C0D30" w:rsidRPr="001C0D30">
              <w:rPr>
                <w:rFonts w:cstheme="minorHAnsi"/>
                <w:sz w:val="19"/>
                <w:szCs w:val="19"/>
              </w:rPr>
              <w:t>ith sodium c</w:t>
            </w:r>
            <w:r w:rsidRPr="001C0D30">
              <w:rPr>
                <w:rFonts w:cstheme="minorHAnsi"/>
                <w:sz w:val="19"/>
                <w:szCs w:val="19"/>
              </w:rPr>
              <w:t>hloride 0.9%.</w:t>
            </w:r>
          </w:p>
        </w:tc>
      </w:tr>
      <w:tr w:rsidR="00032543" w14:paraId="26B55F5B" w14:textId="77777777" w:rsidTr="00A42D39">
        <w:tc>
          <w:tcPr>
            <w:tcW w:w="1725" w:type="dxa"/>
          </w:tcPr>
          <w:p w14:paraId="3C83509C" w14:textId="77777777" w:rsidR="00032543" w:rsidRPr="00CD3A3F" w:rsidRDefault="00032543" w:rsidP="00032543">
            <w:pPr>
              <w:rPr>
                <w:rFonts w:asciiTheme="minorHAnsi" w:hAnsiTheme="minorHAnsi" w:cstheme="minorHAnsi"/>
                <w:b/>
                <w:i/>
                <w:sz w:val="19"/>
                <w:szCs w:val="19"/>
              </w:rPr>
            </w:pPr>
            <w:r w:rsidRPr="00CD3A3F">
              <w:rPr>
                <w:rFonts w:asciiTheme="minorHAnsi" w:hAnsiTheme="minorHAnsi" w:cstheme="minorHAnsi"/>
                <w:b/>
                <w:i/>
                <w:sz w:val="19"/>
                <w:szCs w:val="19"/>
              </w:rPr>
              <w:t>Standing order</w:t>
            </w:r>
          </w:p>
        </w:tc>
        <w:tc>
          <w:tcPr>
            <w:tcW w:w="8512" w:type="dxa"/>
          </w:tcPr>
          <w:p w14:paraId="14B83456" w14:textId="77777777" w:rsidR="004C07A3" w:rsidRPr="00A42D39" w:rsidRDefault="007F6FCD" w:rsidP="00A42D39">
            <w:pPr>
              <w:pStyle w:val="Pa0"/>
              <w:rPr>
                <w:rFonts w:asciiTheme="minorHAnsi" w:hAnsiTheme="minorHAnsi" w:cstheme="minorHAnsi"/>
                <w:i/>
                <w:iCs/>
                <w:color w:val="000000"/>
                <w:sz w:val="19"/>
                <w:szCs w:val="19"/>
              </w:rPr>
            </w:pPr>
            <w:r w:rsidRPr="00CD3A3F">
              <w:rPr>
                <w:rStyle w:val="A1"/>
                <w:rFonts w:asciiTheme="minorHAnsi" w:hAnsiTheme="minorHAnsi" w:cstheme="minorHAnsi"/>
                <w:sz w:val="19"/>
                <w:szCs w:val="19"/>
              </w:rPr>
              <w:t>(Ref: RANZCR, 2018)</w:t>
            </w:r>
          </w:p>
          <w:tbl>
            <w:tblPr>
              <w:tblStyle w:val="TableGrid"/>
              <w:tblW w:w="8286" w:type="dxa"/>
              <w:tblLook w:val="04A0" w:firstRow="1" w:lastRow="0" w:firstColumn="1" w:lastColumn="0" w:noHBand="0" w:noVBand="1"/>
            </w:tblPr>
            <w:tblGrid>
              <w:gridCol w:w="1176"/>
              <w:gridCol w:w="1559"/>
              <w:gridCol w:w="1298"/>
              <w:gridCol w:w="1396"/>
              <w:gridCol w:w="1417"/>
              <w:gridCol w:w="1440"/>
            </w:tblGrid>
            <w:tr w:rsidR="00AC32E1" w:rsidRPr="00CD3A3F" w14:paraId="019C4A60" w14:textId="77777777" w:rsidTr="00B006F3">
              <w:tc>
                <w:tcPr>
                  <w:tcW w:w="1176" w:type="dxa"/>
                </w:tcPr>
                <w:p w14:paraId="79BC7B8A" w14:textId="77777777" w:rsidR="00AC32E1" w:rsidRPr="00CD3A3F" w:rsidRDefault="00AC32E1" w:rsidP="00AC32E1">
                  <w:pPr>
                    <w:spacing w:before="30" w:after="30"/>
                    <w:rPr>
                      <w:rFonts w:asciiTheme="minorHAnsi" w:hAnsiTheme="minorHAnsi" w:cstheme="minorHAnsi"/>
                      <w:sz w:val="20"/>
                      <w:szCs w:val="20"/>
                    </w:rPr>
                  </w:pPr>
                  <w:r w:rsidRPr="00CD3A3F">
                    <w:rPr>
                      <w:rFonts w:asciiTheme="minorHAnsi" w:hAnsiTheme="minorHAnsi" w:cstheme="minorHAnsi"/>
                      <w:sz w:val="20"/>
                      <w:szCs w:val="20"/>
                    </w:rPr>
                    <w:t>Scan/</w:t>
                  </w:r>
                </w:p>
                <w:p w14:paraId="4EDC5518" w14:textId="77777777" w:rsidR="00AC32E1" w:rsidRPr="00CD3A3F" w:rsidRDefault="00AC32E1" w:rsidP="00AC32E1">
                  <w:pPr>
                    <w:spacing w:before="30" w:after="30"/>
                    <w:rPr>
                      <w:rFonts w:asciiTheme="minorHAnsi" w:hAnsiTheme="minorHAnsi" w:cstheme="minorHAnsi"/>
                      <w:sz w:val="20"/>
                      <w:szCs w:val="20"/>
                    </w:rPr>
                  </w:pPr>
                  <w:r w:rsidRPr="00CD3A3F">
                    <w:rPr>
                      <w:rFonts w:asciiTheme="minorHAnsi" w:hAnsiTheme="minorHAnsi" w:cstheme="minorHAnsi"/>
                      <w:sz w:val="20"/>
                      <w:szCs w:val="20"/>
                    </w:rPr>
                    <w:t xml:space="preserve">region </w:t>
                  </w:r>
                </w:p>
                <w:p w14:paraId="75B94C36" w14:textId="77777777" w:rsidR="00AC32E1" w:rsidRPr="00CD3A3F" w:rsidRDefault="00AC32E1" w:rsidP="00AC32E1">
                  <w:pPr>
                    <w:spacing w:before="30" w:after="30"/>
                    <w:rPr>
                      <w:rFonts w:asciiTheme="minorHAnsi" w:hAnsiTheme="minorHAnsi" w:cstheme="minorHAnsi"/>
                      <w:sz w:val="20"/>
                      <w:szCs w:val="20"/>
                    </w:rPr>
                  </w:pPr>
                  <w:r w:rsidRPr="00CD3A3F">
                    <w:rPr>
                      <w:rFonts w:asciiTheme="minorHAnsi" w:hAnsiTheme="minorHAnsi" w:cstheme="minorHAnsi"/>
                      <w:sz w:val="20"/>
                      <w:szCs w:val="20"/>
                    </w:rPr>
                    <w:t>to be examined</w:t>
                  </w:r>
                </w:p>
              </w:tc>
              <w:tc>
                <w:tcPr>
                  <w:tcW w:w="1559" w:type="dxa"/>
                </w:tcPr>
                <w:p w14:paraId="60ADB34B" w14:textId="77777777" w:rsidR="00AC32E1" w:rsidRPr="00CD3A3F" w:rsidRDefault="00AC32E1" w:rsidP="00AC32E1">
                  <w:pPr>
                    <w:spacing w:before="30" w:after="30"/>
                    <w:rPr>
                      <w:rFonts w:asciiTheme="minorHAnsi" w:hAnsiTheme="minorHAnsi" w:cstheme="minorHAnsi"/>
                      <w:sz w:val="20"/>
                      <w:szCs w:val="20"/>
                    </w:rPr>
                  </w:pPr>
                  <w:r w:rsidRPr="00CD3A3F">
                    <w:rPr>
                      <w:rFonts w:asciiTheme="minorHAnsi" w:hAnsiTheme="minorHAnsi" w:cstheme="minorHAnsi"/>
                      <w:sz w:val="20"/>
                      <w:szCs w:val="20"/>
                    </w:rPr>
                    <w:t>Medication</w:t>
                  </w:r>
                </w:p>
              </w:tc>
              <w:tc>
                <w:tcPr>
                  <w:tcW w:w="1298" w:type="dxa"/>
                </w:tcPr>
                <w:p w14:paraId="02C431DF" w14:textId="77777777" w:rsidR="00AC32E1" w:rsidRPr="00CD3A3F" w:rsidRDefault="00AC32E1" w:rsidP="00AC32E1">
                  <w:pPr>
                    <w:spacing w:before="30" w:after="30"/>
                    <w:rPr>
                      <w:rFonts w:asciiTheme="minorHAnsi" w:hAnsiTheme="minorHAnsi" w:cstheme="minorHAnsi"/>
                      <w:sz w:val="20"/>
                      <w:szCs w:val="20"/>
                    </w:rPr>
                  </w:pPr>
                  <w:r w:rsidRPr="00CD3A3F">
                    <w:rPr>
                      <w:rFonts w:asciiTheme="minorHAnsi" w:hAnsiTheme="minorHAnsi" w:cstheme="minorHAnsi"/>
                      <w:sz w:val="20"/>
                      <w:szCs w:val="20"/>
                    </w:rPr>
                    <w:t>Route</w:t>
                  </w:r>
                </w:p>
              </w:tc>
              <w:tc>
                <w:tcPr>
                  <w:tcW w:w="1396" w:type="dxa"/>
                </w:tcPr>
                <w:p w14:paraId="3BB9E186" w14:textId="77777777" w:rsidR="00AC32E1" w:rsidRPr="00CD3A3F" w:rsidRDefault="00AC32E1" w:rsidP="00AC32E1">
                  <w:pPr>
                    <w:spacing w:before="30" w:after="30"/>
                    <w:rPr>
                      <w:rFonts w:asciiTheme="minorHAnsi" w:hAnsiTheme="minorHAnsi" w:cstheme="minorHAnsi"/>
                      <w:sz w:val="20"/>
                      <w:szCs w:val="20"/>
                    </w:rPr>
                  </w:pPr>
                  <w:r w:rsidRPr="00CD3A3F">
                    <w:rPr>
                      <w:rFonts w:asciiTheme="minorHAnsi" w:hAnsiTheme="minorHAnsi" w:cstheme="minorHAnsi"/>
                      <w:sz w:val="20"/>
                      <w:szCs w:val="20"/>
                    </w:rPr>
                    <w:t>Dose</w:t>
                  </w:r>
                </w:p>
              </w:tc>
              <w:tc>
                <w:tcPr>
                  <w:tcW w:w="1417" w:type="dxa"/>
                </w:tcPr>
                <w:p w14:paraId="650D9D48" w14:textId="77777777" w:rsidR="00AC32E1" w:rsidRPr="00CD3A3F" w:rsidRDefault="00AC32E1" w:rsidP="00AC32E1">
                  <w:pPr>
                    <w:spacing w:before="30" w:after="30"/>
                    <w:rPr>
                      <w:rFonts w:asciiTheme="minorHAnsi" w:hAnsiTheme="minorHAnsi" w:cstheme="minorHAnsi"/>
                      <w:sz w:val="20"/>
                      <w:szCs w:val="20"/>
                    </w:rPr>
                  </w:pPr>
                  <w:r w:rsidRPr="00CD3A3F">
                    <w:rPr>
                      <w:rFonts w:asciiTheme="minorHAnsi" w:hAnsiTheme="minorHAnsi" w:cstheme="minorHAnsi"/>
                      <w:sz w:val="20"/>
                      <w:szCs w:val="20"/>
                    </w:rPr>
                    <w:t>Rate</w:t>
                  </w:r>
                </w:p>
              </w:tc>
              <w:tc>
                <w:tcPr>
                  <w:tcW w:w="1440" w:type="dxa"/>
                </w:tcPr>
                <w:p w14:paraId="5657CE90" w14:textId="77777777" w:rsidR="00AC32E1" w:rsidRPr="00CD3A3F" w:rsidRDefault="00AC32E1" w:rsidP="00AC32E1">
                  <w:pPr>
                    <w:spacing w:before="30" w:after="30"/>
                    <w:rPr>
                      <w:rFonts w:asciiTheme="minorHAnsi" w:hAnsiTheme="minorHAnsi" w:cstheme="minorHAnsi"/>
                      <w:sz w:val="20"/>
                      <w:szCs w:val="20"/>
                    </w:rPr>
                  </w:pPr>
                  <w:r w:rsidRPr="00CD3A3F">
                    <w:rPr>
                      <w:rFonts w:asciiTheme="minorHAnsi" w:hAnsiTheme="minorHAnsi" w:cstheme="minorHAnsi"/>
                      <w:sz w:val="20"/>
                      <w:szCs w:val="20"/>
                    </w:rPr>
                    <w:t>Frequency</w:t>
                  </w:r>
                </w:p>
              </w:tc>
            </w:tr>
            <w:tr w:rsidR="00AC32E1" w:rsidRPr="00CD3A3F" w14:paraId="609E06DB" w14:textId="77777777" w:rsidTr="00B006F3">
              <w:tc>
                <w:tcPr>
                  <w:tcW w:w="1176" w:type="dxa"/>
                </w:tcPr>
                <w:p w14:paraId="63DDF31B" w14:textId="77777777" w:rsidR="00AC32E1" w:rsidRPr="00CD3A3F" w:rsidRDefault="00AC32E1" w:rsidP="00AC32E1">
                  <w:pPr>
                    <w:spacing w:before="30" w:after="30"/>
                    <w:rPr>
                      <w:rFonts w:asciiTheme="minorHAnsi" w:hAnsiTheme="minorHAnsi" w:cstheme="minorHAnsi"/>
                      <w:i/>
                      <w:sz w:val="20"/>
                      <w:szCs w:val="20"/>
                    </w:rPr>
                  </w:pPr>
                  <w:r w:rsidRPr="00CD3A3F">
                    <w:rPr>
                      <w:rFonts w:asciiTheme="minorHAnsi" w:hAnsiTheme="minorHAnsi" w:cstheme="minorHAnsi"/>
                      <w:i/>
                      <w:sz w:val="20"/>
                      <w:szCs w:val="20"/>
                    </w:rPr>
                    <w:t>e.g. Abdomen</w:t>
                  </w:r>
                </w:p>
              </w:tc>
              <w:tc>
                <w:tcPr>
                  <w:tcW w:w="1559" w:type="dxa"/>
                </w:tcPr>
                <w:p w14:paraId="54C42F6C" w14:textId="77777777" w:rsidR="00AC32E1" w:rsidRPr="00CD3A3F" w:rsidRDefault="00AC32E1" w:rsidP="00AC32E1">
                  <w:pPr>
                    <w:spacing w:before="30" w:after="30"/>
                    <w:rPr>
                      <w:rFonts w:asciiTheme="minorHAnsi" w:hAnsiTheme="minorHAnsi" w:cstheme="minorHAnsi"/>
                      <w:i/>
                      <w:sz w:val="20"/>
                      <w:szCs w:val="20"/>
                    </w:rPr>
                  </w:pPr>
                  <w:r w:rsidRPr="00CD3A3F">
                    <w:rPr>
                      <w:rFonts w:asciiTheme="minorHAnsi" w:hAnsiTheme="minorHAnsi" w:cstheme="minorHAnsi"/>
                      <w:sz w:val="20"/>
                      <w:szCs w:val="20"/>
                    </w:rPr>
                    <w:t xml:space="preserve">&lt;CONTRAST MEDIA NAME&gt; </w:t>
                  </w:r>
                  <w:r w:rsidRPr="00CD3A3F">
                    <w:rPr>
                      <w:rFonts w:asciiTheme="minorHAnsi" w:hAnsiTheme="minorHAnsi" w:cstheme="minorHAnsi"/>
                      <w:i/>
                      <w:sz w:val="20"/>
                      <w:szCs w:val="20"/>
                    </w:rPr>
                    <w:t xml:space="preserve"> (</w:t>
                  </w:r>
                  <w:proofErr w:type="spellStart"/>
                  <w:r w:rsidRPr="00CD3A3F">
                    <w:rPr>
                      <w:rFonts w:asciiTheme="minorHAnsi" w:hAnsiTheme="minorHAnsi" w:cstheme="minorHAnsi"/>
                      <w:i/>
                      <w:sz w:val="20"/>
                      <w:szCs w:val="20"/>
                    </w:rPr>
                    <w:t>iohexol</w:t>
                  </w:r>
                  <w:proofErr w:type="spellEnd"/>
                  <w:r w:rsidRPr="00CD3A3F">
                    <w:rPr>
                      <w:rFonts w:asciiTheme="minorHAnsi" w:hAnsiTheme="minorHAnsi" w:cstheme="minorHAnsi"/>
                      <w:i/>
                      <w:sz w:val="20"/>
                      <w:szCs w:val="20"/>
                    </w:rPr>
                    <w:t>)</w:t>
                  </w:r>
                </w:p>
              </w:tc>
              <w:tc>
                <w:tcPr>
                  <w:tcW w:w="1298" w:type="dxa"/>
                </w:tcPr>
                <w:p w14:paraId="055C14A9" w14:textId="77777777" w:rsidR="00AC32E1" w:rsidRPr="00CD3A3F" w:rsidRDefault="00AC32E1" w:rsidP="00AC32E1">
                  <w:pPr>
                    <w:spacing w:before="30" w:after="30"/>
                    <w:rPr>
                      <w:rFonts w:asciiTheme="minorHAnsi" w:hAnsiTheme="minorHAnsi" w:cstheme="minorHAnsi"/>
                      <w:i/>
                      <w:sz w:val="20"/>
                      <w:szCs w:val="20"/>
                    </w:rPr>
                  </w:pPr>
                  <w:r w:rsidRPr="00CD3A3F">
                    <w:rPr>
                      <w:rFonts w:asciiTheme="minorHAnsi" w:hAnsiTheme="minorHAnsi" w:cstheme="minorHAnsi"/>
                      <w:i/>
                      <w:sz w:val="20"/>
                      <w:szCs w:val="20"/>
                    </w:rPr>
                    <w:t>Intravenous</w:t>
                  </w:r>
                </w:p>
              </w:tc>
              <w:tc>
                <w:tcPr>
                  <w:tcW w:w="1396" w:type="dxa"/>
                </w:tcPr>
                <w:p w14:paraId="38914361" w14:textId="77777777" w:rsidR="00AC32E1" w:rsidRPr="00CD3A3F" w:rsidRDefault="00AC32E1" w:rsidP="00AC32E1">
                  <w:pPr>
                    <w:spacing w:before="30" w:after="30"/>
                    <w:rPr>
                      <w:rFonts w:asciiTheme="minorHAnsi" w:hAnsiTheme="minorHAnsi" w:cstheme="minorHAnsi"/>
                      <w:i/>
                      <w:sz w:val="20"/>
                      <w:szCs w:val="20"/>
                    </w:rPr>
                  </w:pPr>
                  <w:r w:rsidRPr="00CD3A3F">
                    <w:rPr>
                      <w:rFonts w:asciiTheme="minorHAnsi" w:hAnsiTheme="minorHAnsi" w:cstheme="minorHAnsi"/>
                      <w:i/>
                      <w:sz w:val="20"/>
                      <w:szCs w:val="20"/>
                    </w:rPr>
                    <w:t xml:space="preserve">75 mL </w:t>
                  </w:r>
                  <w:r w:rsidRPr="00CD3A3F">
                    <w:rPr>
                      <w:rFonts w:asciiTheme="minorHAnsi" w:hAnsiTheme="minorHAnsi" w:cstheme="minorHAnsi"/>
                      <w:i/>
                      <w:sz w:val="20"/>
                      <w:szCs w:val="20"/>
                    </w:rPr>
                    <w:br/>
                    <w:t>(&lt;90 kg)</w:t>
                  </w:r>
                </w:p>
                <w:p w14:paraId="37D2AB9E" w14:textId="77777777" w:rsidR="00AC32E1" w:rsidRPr="00CD3A3F" w:rsidRDefault="00AC32E1" w:rsidP="00AC32E1">
                  <w:pPr>
                    <w:spacing w:before="30" w:after="30"/>
                    <w:rPr>
                      <w:rFonts w:asciiTheme="minorHAnsi" w:hAnsiTheme="minorHAnsi" w:cstheme="minorHAnsi"/>
                      <w:i/>
                      <w:sz w:val="20"/>
                      <w:szCs w:val="20"/>
                    </w:rPr>
                  </w:pPr>
                  <w:r w:rsidRPr="00CD3A3F">
                    <w:rPr>
                      <w:rFonts w:asciiTheme="minorHAnsi" w:hAnsiTheme="minorHAnsi" w:cstheme="minorHAnsi"/>
                      <w:i/>
                      <w:sz w:val="20"/>
                      <w:szCs w:val="20"/>
                    </w:rPr>
                    <w:t xml:space="preserve">100 mL </w:t>
                  </w:r>
                  <w:r w:rsidRPr="00CD3A3F">
                    <w:rPr>
                      <w:rFonts w:asciiTheme="minorHAnsi" w:hAnsiTheme="minorHAnsi" w:cstheme="minorHAnsi"/>
                      <w:i/>
                      <w:sz w:val="20"/>
                      <w:szCs w:val="20"/>
                    </w:rPr>
                    <w:br/>
                    <w:t>(&gt;90 kg)</w:t>
                  </w:r>
                </w:p>
              </w:tc>
              <w:tc>
                <w:tcPr>
                  <w:tcW w:w="1417" w:type="dxa"/>
                </w:tcPr>
                <w:p w14:paraId="280E9BE6" w14:textId="77777777" w:rsidR="00AC32E1" w:rsidRPr="00CD3A3F" w:rsidRDefault="00AC32E1" w:rsidP="00AC32E1">
                  <w:pPr>
                    <w:spacing w:before="30" w:after="30"/>
                    <w:rPr>
                      <w:rFonts w:asciiTheme="minorHAnsi" w:hAnsiTheme="minorHAnsi" w:cstheme="minorHAnsi"/>
                      <w:i/>
                      <w:sz w:val="20"/>
                      <w:szCs w:val="20"/>
                    </w:rPr>
                  </w:pPr>
                  <w:r w:rsidRPr="00CD3A3F">
                    <w:rPr>
                      <w:rFonts w:asciiTheme="minorHAnsi" w:hAnsiTheme="minorHAnsi" w:cstheme="minorHAnsi"/>
                      <w:i/>
                      <w:sz w:val="20"/>
                      <w:szCs w:val="20"/>
                    </w:rPr>
                    <w:t>1.8-3.0 mL/s Power injected via limiting device</w:t>
                  </w:r>
                </w:p>
              </w:tc>
              <w:tc>
                <w:tcPr>
                  <w:tcW w:w="1440" w:type="dxa"/>
                </w:tcPr>
                <w:p w14:paraId="537F95AE" w14:textId="77777777" w:rsidR="00AC32E1" w:rsidRPr="00CD3A3F" w:rsidRDefault="00AC32E1" w:rsidP="00AC32E1">
                  <w:pPr>
                    <w:spacing w:before="30" w:after="30"/>
                    <w:rPr>
                      <w:rFonts w:asciiTheme="minorHAnsi" w:hAnsiTheme="minorHAnsi" w:cstheme="minorHAnsi"/>
                      <w:i/>
                      <w:sz w:val="20"/>
                      <w:szCs w:val="20"/>
                    </w:rPr>
                  </w:pPr>
                  <w:r w:rsidRPr="00CD3A3F">
                    <w:rPr>
                      <w:rFonts w:asciiTheme="minorHAnsi" w:hAnsiTheme="minorHAnsi" w:cstheme="minorHAnsi"/>
                      <w:i/>
                      <w:sz w:val="20"/>
                      <w:szCs w:val="20"/>
                    </w:rPr>
                    <w:t>Stat</w:t>
                  </w:r>
                </w:p>
              </w:tc>
            </w:tr>
            <w:tr w:rsidR="00AC32E1" w:rsidRPr="00CD3A3F" w14:paraId="02DC7EDC" w14:textId="77777777" w:rsidTr="00B006F3">
              <w:tc>
                <w:tcPr>
                  <w:tcW w:w="1176" w:type="dxa"/>
                </w:tcPr>
                <w:p w14:paraId="2979E6D0" w14:textId="77777777" w:rsidR="00AC32E1" w:rsidRPr="00CD3A3F" w:rsidRDefault="00AC32E1" w:rsidP="00AC32E1">
                  <w:pPr>
                    <w:spacing w:before="30" w:after="30"/>
                    <w:rPr>
                      <w:rFonts w:asciiTheme="minorHAnsi" w:hAnsiTheme="minorHAnsi" w:cstheme="minorHAnsi"/>
                      <w:sz w:val="20"/>
                      <w:szCs w:val="20"/>
                    </w:rPr>
                  </w:pPr>
                </w:p>
              </w:tc>
              <w:tc>
                <w:tcPr>
                  <w:tcW w:w="1559" w:type="dxa"/>
                </w:tcPr>
                <w:p w14:paraId="44987894" w14:textId="77777777" w:rsidR="00AC32E1" w:rsidRPr="00CD3A3F" w:rsidRDefault="00AC32E1" w:rsidP="00AC32E1">
                  <w:pPr>
                    <w:spacing w:before="30" w:after="30"/>
                    <w:rPr>
                      <w:rFonts w:asciiTheme="minorHAnsi" w:hAnsiTheme="minorHAnsi" w:cstheme="minorHAnsi"/>
                      <w:sz w:val="20"/>
                      <w:szCs w:val="20"/>
                    </w:rPr>
                  </w:pPr>
                </w:p>
              </w:tc>
              <w:tc>
                <w:tcPr>
                  <w:tcW w:w="1298" w:type="dxa"/>
                </w:tcPr>
                <w:p w14:paraId="28569664" w14:textId="77777777" w:rsidR="00AC32E1" w:rsidRPr="00CD3A3F" w:rsidRDefault="00AC32E1" w:rsidP="00AC32E1">
                  <w:pPr>
                    <w:spacing w:before="30" w:after="30"/>
                    <w:rPr>
                      <w:rFonts w:asciiTheme="minorHAnsi" w:hAnsiTheme="minorHAnsi" w:cstheme="minorHAnsi"/>
                      <w:sz w:val="20"/>
                      <w:szCs w:val="20"/>
                    </w:rPr>
                  </w:pPr>
                </w:p>
              </w:tc>
              <w:tc>
                <w:tcPr>
                  <w:tcW w:w="1396" w:type="dxa"/>
                </w:tcPr>
                <w:p w14:paraId="1CD43EE4" w14:textId="77777777" w:rsidR="00AC32E1" w:rsidRPr="00CD3A3F" w:rsidRDefault="00AC32E1" w:rsidP="00AC32E1">
                  <w:pPr>
                    <w:spacing w:before="30" w:after="30"/>
                    <w:rPr>
                      <w:rFonts w:asciiTheme="minorHAnsi" w:hAnsiTheme="minorHAnsi" w:cstheme="minorHAnsi"/>
                      <w:sz w:val="20"/>
                      <w:szCs w:val="20"/>
                    </w:rPr>
                  </w:pPr>
                </w:p>
              </w:tc>
              <w:tc>
                <w:tcPr>
                  <w:tcW w:w="1417" w:type="dxa"/>
                </w:tcPr>
                <w:p w14:paraId="157D6C06" w14:textId="77777777" w:rsidR="00AC32E1" w:rsidRPr="00CD3A3F" w:rsidRDefault="00AC32E1" w:rsidP="00AC32E1">
                  <w:pPr>
                    <w:spacing w:before="30" w:after="30"/>
                    <w:rPr>
                      <w:rFonts w:asciiTheme="minorHAnsi" w:hAnsiTheme="minorHAnsi" w:cstheme="minorHAnsi"/>
                      <w:sz w:val="20"/>
                      <w:szCs w:val="20"/>
                    </w:rPr>
                  </w:pPr>
                </w:p>
              </w:tc>
              <w:tc>
                <w:tcPr>
                  <w:tcW w:w="1440" w:type="dxa"/>
                </w:tcPr>
                <w:p w14:paraId="07A5E8B1" w14:textId="77777777" w:rsidR="00AC32E1" w:rsidRPr="00CD3A3F" w:rsidRDefault="00AC32E1" w:rsidP="00AC32E1">
                  <w:pPr>
                    <w:spacing w:before="30" w:after="30"/>
                    <w:rPr>
                      <w:rFonts w:asciiTheme="minorHAnsi" w:hAnsiTheme="minorHAnsi" w:cstheme="minorHAnsi"/>
                      <w:sz w:val="20"/>
                      <w:szCs w:val="20"/>
                    </w:rPr>
                  </w:pPr>
                </w:p>
              </w:tc>
            </w:tr>
            <w:tr w:rsidR="00AC32E1" w:rsidRPr="00CD3A3F" w14:paraId="565B73C5" w14:textId="77777777" w:rsidTr="00B006F3">
              <w:tc>
                <w:tcPr>
                  <w:tcW w:w="1176" w:type="dxa"/>
                </w:tcPr>
                <w:p w14:paraId="5FFB6602" w14:textId="77777777" w:rsidR="00AC32E1" w:rsidRPr="00CD3A3F" w:rsidRDefault="00AC32E1" w:rsidP="00AC32E1">
                  <w:pPr>
                    <w:spacing w:before="30" w:after="30"/>
                    <w:rPr>
                      <w:rFonts w:asciiTheme="minorHAnsi" w:hAnsiTheme="minorHAnsi" w:cstheme="minorHAnsi"/>
                      <w:sz w:val="20"/>
                      <w:szCs w:val="20"/>
                    </w:rPr>
                  </w:pPr>
                </w:p>
              </w:tc>
              <w:tc>
                <w:tcPr>
                  <w:tcW w:w="1559" w:type="dxa"/>
                </w:tcPr>
                <w:p w14:paraId="4A853B63" w14:textId="77777777" w:rsidR="00AC32E1" w:rsidRPr="00CD3A3F" w:rsidRDefault="00AC32E1" w:rsidP="00AC32E1">
                  <w:pPr>
                    <w:spacing w:before="30" w:after="30"/>
                    <w:rPr>
                      <w:rFonts w:asciiTheme="minorHAnsi" w:hAnsiTheme="minorHAnsi" w:cstheme="minorHAnsi"/>
                      <w:sz w:val="20"/>
                      <w:szCs w:val="20"/>
                    </w:rPr>
                  </w:pPr>
                </w:p>
              </w:tc>
              <w:tc>
                <w:tcPr>
                  <w:tcW w:w="1298" w:type="dxa"/>
                </w:tcPr>
                <w:p w14:paraId="74441B94" w14:textId="77777777" w:rsidR="00AC32E1" w:rsidRPr="00CD3A3F" w:rsidRDefault="00AC32E1" w:rsidP="00AC32E1">
                  <w:pPr>
                    <w:spacing w:before="30" w:after="30"/>
                    <w:rPr>
                      <w:rFonts w:asciiTheme="minorHAnsi" w:hAnsiTheme="minorHAnsi" w:cstheme="minorHAnsi"/>
                      <w:sz w:val="20"/>
                      <w:szCs w:val="20"/>
                    </w:rPr>
                  </w:pPr>
                </w:p>
              </w:tc>
              <w:tc>
                <w:tcPr>
                  <w:tcW w:w="1396" w:type="dxa"/>
                </w:tcPr>
                <w:p w14:paraId="73E2FC11" w14:textId="77777777" w:rsidR="00AC32E1" w:rsidRPr="00CD3A3F" w:rsidRDefault="00AC32E1" w:rsidP="00AC32E1">
                  <w:pPr>
                    <w:spacing w:before="30" w:after="30"/>
                    <w:rPr>
                      <w:rFonts w:asciiTheme="minorHAnsi" w:hAnsiTheme="minorHAnsi" w:cstheme="minorHAnsi"/>
                      <w:sz w:val="20"/>
                      <w:szCs w:val="20"/>
                    </w:rPr>
                  </w:pPr>
                </w:p>
              </w:tc>
              <w:tc>
                <w:tcPr>
                  <w:tcW w:w="1417" w:type="dxa"/>
                </w:tcPr>
                <w:p w14:paraId="65ED0964" w14:textId="77777777" w:rsidR="00AC32E1" w:rsidRPr="00CD3A3F" w:rsidRDefault="00AC32E1" w:rsidP="00AC32E1">
                  <w:pPr>
                    <w:spacing w:before="30" w:after="30"/>
                    <w:rPr>
                      <w:rFonts w:asciiTheme="minorHAnsi" w:hAnsiTheme="minorHAnsi" w:cstheme="minorHAnsi"/>
                      <w:sz w:val="20"/>
                      <w:szCs w:val="20"/>
                    </w:rPr>
                  </w:pPr>
                </w:p>
              </w:tc>
              <w:tc>
                <w:tcPr>
                  <w:tcW w:w="1440" w:type="dxa"/>
                </w:tcPr>
                <w:p w14:paraId="518E2CD9" w14:textId="77777777" w:rsidR="00AC32E1" w:rsidRPr="00CD3A3F" w:rsidRDefault="00AC32E1" w:rsidP="00AC32E1">
                  <w:pPr>
                    <w:spacing w:before="30" w:after="30"/>
                    <w:rPr>
                      <w:rFonts w:asciiTheme="minorHAnsi" w:hAnsiTheme="minorHAnsi" w:cstheme="minorHAnsi"/>
                      <w:sz w:val="20"/>
                      <w:szCs w:val="20"/>
                    </w:rPr>
                  </w:pPr>
                </w:p>
              </w:tc>
            </w:tr>
            <w:tr w:rsidR="00AC32E1" w:rsidRPr="00CD3A3F" w14:paraId="3DA4C70B" w14:textId="77777777" w:rsidTr="00B006F3">
              <w:tc>
                <w:tcPr>
                  <w:tcW w:w="1176" w:type="dxa"/>
                </w:tcPr>
                <w:p w14:paraId="0D753ED6" w14:textId="77777777" w:rsidR="00AC32E1" w:rsidRPr="00CD3A3F" w:rsidRDefault="00AC32E1" w:rsidP="00AC32E1">
                  <w:pPr>
                    <w:spacing w:before="30" w:after="30"/>
                    <w:rPr>
                      <w:rFonts w:asciiTheme="minorHAnsi" w:hAnsiTheme="minorHAnsi" w:cstheme="minorHAnsi"/>
                      <w:sz w:val="20"/>
                      <w:szCs w:val="20"/>
                    </w:rPr>
                  </w:pPr>
                </w:p>
              </w:tc>
              <w:tc>
                <w:tcPr>
                  <w:tcW w:w="1559" w:type="dxa"/>
                </w:tcPr>
                <w:p w14:paraId="65F84B4A" w14:textId="77777777" w:rsidR="00AC32E1" w:rsidRPr="00CD3A3F" w:rsidRDefault="00AC32E1" w:rsidP="00AC32E1">
                  <w:pPr>
                    <w:spacing w:before="30" w:after="30"/>
                    <w:rPr>
                      <w:rFonts w:asciiTheme="minorHAnsi" w:hAnsiTheme="minorHAnsi" w:cstheme="minorHAnsi"/>
                      <w:sz w:val="20"/>
                      <w:szCs w:val="20"/>
                    </w:rPr>
                  </w:pPr>
                </w:p>
              </w:tc>
              <w:tc>
                <w:tcPr>
                  <w:tcW w:w="1298" w:type="dxa"/>
                </w:tcPr>
                <w:p w14:paraId="016D54E4" w14:textId="77777777" w:rsidR="00AC32E1" w:rsidRPr="00CD3A3F" w:rsidRDefault="00AC32E1" w:rsidP="00AC32E1">
                  <w:pPr>
                    <w:spacing w:before="30" w:after="30"/>
                    <w:rPr>
                      <w:rFonts w:asciiTheme="minorHAnsi" w:hAnsiTheme="minorHAnsi" w:cstheme="minorHAnsi"/>
                      <w:sz w:val="20"/>
                      <w:szCs w:val="20"/>
                    </w:rPr>
                  </w:pPr>
                </w:p>
              </w:tc>
              <w:tc>
                <w:tcPr>
                  <w:tcW w:w="1396" w:type="dxa"/>
                </w:tcPr>
                <w:p w14:paraId="5A5E5DBB" w14:textId="77777777" w:rsidR="00AC32E1" w:rsidRPr="00CD3A3F" w:rsidRDefault="00AC32E1" w:rsidP="00AC32E1">
                  <w:pPr>
                    <w:spacing w:before="30" w:after="30"/>
                    <w:rPr>
                      <w:rFonts w:asciiTheme="minorHAnsi" w:hAnsiTheme="minorHAnsi" w:cstheme="minorHAnsi"/>
                      <w:sz w:val="20"/>
                      <w:szCs w:val="20"/>
                    </w:rPr>
                  </w:pPr>
                </w:p>
              </w:tc>
              <w:tc>
                <w:tcPr>
                  <w:tcW w:w="1417" w:type="dxa"/>
                </w:tcPr>
                <w:p w14:paraId="713EC3E5" w14:textId="77777777" w:rsidR="00AC32E1" w:rsidRPr="00CD3A3F" w:rsidRDefault="00AC32E1" w:rsidP="00AC32E1">
                  <w:pPr>
                    <w:spacing w:before="30" w:after="30"/>
                    <w:rPr>
                      <w:rFonts w:asciiTheme="minorHAnsi" w:hAnsiTheme="minorHAnsi" w:cstheme="minorHAnsi"/>
                      <w:sz w:val="20"/>
                      <w:szCs w:val="20"/>
                    </w:rPr>
                  </w:pPr>
                </w:p>
              </w:tc>
              <w:tc>
                <w:tcPr>
                  <w:tcW w:w="1440" w:type="dxa"/>
                </w:tcPr>
                <w:p w14:paraId="0FEE2241" w14:textId="77777777" w:rsidR="00AC32E1" w:rsidRPr="00CD3A3F" w:rsidRDefault="00AC32E1" w:rsidP="00AC32E1">
                  <w:pPr>
                    <w:spacing w:before="30" w:after="30"/>
                    <w:rPr>
                      <w:rFonts w:asciiTheme="minorHAnsi" w:hAnsiTheme="minorHAnsi" w:cstheme="minorHAnsi"/>
                      <w:sz w:val="20"/>
                      <w:szCs w:val="20"/>
                    </w:rPr>
                  </w:pPr>
                </w:p>
              </w:tc>
            </w:tr>
            <w:tr w:rsidR="00AC32E1" w:rsidRPr="00CD3A3F" w14:paraId="2EF62CC3" w14:textId="77777777" w:rsidTr="00B006F3">
              <w:trPr>
                <w:trHeight w:val="110"/>
              </w:trPr>
              <w:tc>
                <w:tcPr>
                  <w:tcW w:w="1176" w:type="dxa"/>
                </w:tcPr>
                <w:p w14:paraId="7574CA02" w14:textId="77777777" w:rsidR="00AC32E1" w:rsidRPr="00CD3A3F" w:rsidRDefault="00AC32E1" w:rsidP="00AC32E1">
                  <w:pPr>
                    <w:spacing w:before="30" w:after="30"/>
                    <w:rPr>
                      <w:rFonts w:asciiTheme="minorHAnsi" w:hAnsiTheme="minorHAnsi" w:cstheme="minorHAnsi"/>
                      <w:sz w:val="20"/>
                      <w:szCs w:val="20"/>
                    </w:rPr>
                  </w:pPr>
                </w:p>
              </w:tc>
              <w:tc>
                <w:tcPr>
                  <w:tcW w:w="1559" w:type="dxa"/>
                </w:tcPr>
                <w:p w14:paraId="1C76A6D7" w14:textId="77777777" w:rsidR="00AC32E1" w:rsidRPr="00CD3A3F" w:rsidRDefault="00AC32E1" w:rsidP="00AC32E1">
                  <w:pPr>
                    <w:spacing w:before="30" w:after="30"/>
                    <w:rPr>
                      <w:rFonts w:asciiTheme="minorHAnsi" w:hAnsiTheme="minorHAnsi" w:cstheme="minorHAnsi"/>
                      <w:sz w:val="20"/>
                      <w:szCs w:val="20"/>
                    </w:rPr>
                  </w:pPr>
                </w:p>
              </w:tc>
              <w:tc>
                <w:tcPr>
                  <w:tcW w:w="1298" w:type="dxa"/>
                </w:tcPr>
                <w:p w14:paraId="0EEB402E" w14:textId="77777777" w:rsidR="00AC32E1" w:rsidRPr="00CD3A3F" w:rsidRDefault="00AC32E1" w:rsidP="00AC32E1">
                  <w:pPr>
                    <w:spacing w:before="30" w:after="30"/>
                    <w:rPr>
                      <w:rFonts w:asciiTheme="minorHAnsi" w:hAnsiTheme="minorHAnsi" w:cstheme="minorHAnsi"/>
                      <w:sz w:val="20"/>
                      <w:szCs w:val="20"/>
                    </w:rPr>
                  </w:pPr>
                </w:p>
              </w:tc>
              <w:tc>
                <w:tcPr>
                  <w:tcW w:w="1396" w:type="dxa"/>
                </w:tcPr>
                <w:p w14:paraId="7209CF6B" w14:textId="77777777" w:rsidR="00AC32E1" w:rsidRPr="00CD3A3F" w:rsidRDefault="00AC32E1" w:rsidP="00AC32E1">
                  <w:pPr>
                    <w:spacing w:before="30" w:after="30"/>
                    <w:rPr>
                      <w:rFonts w:asciiTheme="minorHAnsi" w:hAnsiTheme="minorHAnsi" w:cstheme="minorHAnsi"/>
                      <w:sz w:val="20"/>
                      <w:szCs w:val="20"/>
                    </w:rPr>
                  </w:pPr>
                </w:p>
              </w:tc>
              <w:tc>
                <w:tcPr>
                  <w:tcW w:w="1417" w:type="dxa"/>
                </w:tcPr>
                <w:p w14:paraId="7D672A3D" w14:textId="77777777" w:rsidR="00AC32E1" w:rsidRPr="00CD3A3F" w:rsidRDefault="00AC32E1" w:rsidP="00AC32E1">
                  <w:pPr>
                    <w:spacing w:before="30" w:after="30"/>
                    <w:rPr>
                      <w:rFonts w:asciiTheme="minorHAnsi" w:hAnsiTheme="minorHAnsi" w:cstheme="minorHAnsi"/>
                      <w:sz w:val="20"/>
                      <w:szCs w:val="20"/>
                    </w:rPr>
                  </w:pPr>
                </w:p>
              </w:tc>
              <w:tc>
                <w:tcPr>
                  <w:tcW w:w="1440" w:type="dxa"/>
                </w:tcPr>
                <w:p w14:paraId="79CC556D" w14:textId="77777777" w:rsidR="00AC32E1" w:rsidRPr="00CD3A3F" w:rsidRDefault="00AC32E1" w:rsidP="00AC32E1">
                  <w:pPr>
                    <w:spacing w:before="30" w:after="30"/>
                    <w:rPr>
                      <w:rFonts w:asciiTheme="minorHAnsi" w:hAnsiTheme="minorHAnsi" w:cstheme="minorHAnsi"/>
                      <w:sz w:val="20"/>
                      <w:szCs w:val="20"/>
                    </w:rPr>
                  </w:pPr>
                </w:p>
              </w:tc>
            </w:tr>
          </w:tbl>
          <w:p w14:paraId="351FF98D" w14:textId="77777777" w:rsidR="00032543" w:rsidRPr="00CD3A3F" w:rsidRDefault="00032543" w:rsidP="00032543">
            <w:pPr>
              <w:pStyle w:val="Default"/>
            </w:pPr>
          </w:p>
        </w:tc>
      </w:tr>
      <w:tr w:rsidR="001C0D30" w14:paraId="7E6FA079" w14:textId="77777777" w:rsidTr="00A42D39">
        <w:tc>
          <w:tcPr>
            <w:tcW w:w="1725" w:type="dxa"/>
          </w:tcPr>
          <w:p w14:paraId="1717E454" w14:textId="77777777" w:rsidR="001C0D30" w:rsidRPr="00EA3785" w:rsidRDefault="001C0D30" w:rsidP="001C0D30">
            <w:pPr>
              <w:rPr>
                <w:rFonts w:asciiTheme="minorHAnsi" w:hAnsiTheme="minorHAnsi" w:cstheme="minorHAnsi"/>
                <w:b/>
                <w:sz w:val="19"/>
                <w:szCs w:val="19"/>
              </w:rPr>
            </w:pPr>
            <w:r w:rsidRPr="00EA3785">
              <w:rPr>
                <w:rFonts w:asciiTheme="minorHAnsi" w:hAnsiTheme="minorHAnsi" w:cstheme="minorHAnsi"/>
                <w:b/>
                <w:sz w:val="19"/>
                <w:szCs w:val="19"/>
              </w:rPr>
              <w:t>Monitoring requirements</w:t>
            </w:r>
          </w:p>
        </w:tc>
        <w:tc>
          <w:tcPr>
            <w:tcW w:w="8512" w:type="dxa"/>
          </w:tcPr>
          <w:p w14:paraId="0A9F1BD2" w14:textId="77777777" w:rsidR="001C0D30" w:rsidRDefault="001C0D30" w:rsidP="001C0D30">
            <w:pPr>
              <w:autoSpaceDE w:val="0"/>
              <w:autoSpaceDN w:val="0"/>
              <w:adjustRightInd w:val="0"/>
              <w:rPr>
                <w:rFonts w:asciiTheme="minorHAnsi" w:hAnsiTheme="minorHAnsi" w:cstheme="minorHAnsi"/>
                <w:color w:val="000000"/>
                <w:sz w:val="19"/>
                <w:szCs w:val="19"/>
              </w:rPr>
            </w:pPr>
            <w:r w:rsidRPr="00EA3785">
              <w:rPr>
                <w:rFonts w:asciiTheme="minorHAnsi" w:hAnsiTheme="minorHAnsi" w:cstheme="minorHAnsi"/>
                <w:color w:val="000000"/>
                <w:sz w:val="19"/>
                <w:szCs w:val="19"/>
              </w:rPr>
              <w:t>The patient must be monitored for adverse effects/interactions for at least 15 minutes after the administration of IV cont</w:t>
            </w:r>
            <w:r w:rsidR="00AC32E1">
              <w:rPr>
                <w:rFonts w:asciiTheme="minorHAnsi" w:hAnsiTheme="minorHAnsi" w:cstheme="minorHAnsi"/>
                <w:color w:val="000000"/>
                <w:sz w:val="19"/>
                <w:szCs w:val="19"/>
              </w:rPr>
              <w:t>rast BEFORE the removal of the c</w:t>
            </w:r>
            <w:r w:rsidRPr="00EA3785">
              <w:rPr>
                <w:rFonts w:asciiTheme="minorHAnsi" w:hAnsiTheme="minorHAnsi" w:cstheme="minorHAnsi"/>
                <w:color w:val="000000"/>
                <w:sz w:val="19"/>
                <w:szCs w:val="19"/>
              </w:rPr>
              <w:t>annula, as most adverse reactions occur in this time.</w:t>
            </w:r>
          </w:p>
          <w:p w14:paraId="14FB0EB3" w14:textId="77777777" w:rsidR="001C0D30" w:rsidRPr="00EA3785" w:rsidRDefault="001C0D30" w:rsidP="001C0D30">
            <w:pPr>
              <w:autoSpaceDE w:val="0"/>
              <w:autoSpaceDN w:val="0"/>
              <w:adjustRightInd w:val="0"/>
              <w:rPr>
                <w:rFonts w:asciiTheme="minorHAnsi" w:hAnsiTheme="minorHAnsi" w:cstheme="minorHAnsi"/>
                <w:color w:val="000000"/>
                <w:sz w:val="19"/>
                <w:szCs w:val="19"/>
              </w:rPr>
            </w:pPr>
            <w:r w:rsidRPr="00EA3785">
              <w:rPr>
                <w:rFonts w:asciiTheme="minorHAnsi" w:hAnsiTheme="minorHAnsi" w:cstheme="minorHAnsi"/>
                <w:color w:val="000000"/>
                <w:sz w:val="19"/>
                <w:szCs w:val="19"/>
              </w:rPr>
              <w:t>Patients identified to be at a greater risk of reaction require e</w:t>
            </w:r>
            <w:r w:rsidR="00AC32E1">
              <w:rPr>
                <w:rFonts w:asciiTheme="minorHAnsi" w:hAnsiTheme="minorHAnsi" w:cstheme="minorHAnsi"/>
                <w:color w:val="000000"/>
                <w:sz w:val="19"/>
                <w:szCs w:val="19"/>
              </w:rPr>
              <w:t>xtended monitoring of up to 15-</w:t>
            </w:r>
            <w:r w:rsidRPr="00EA3785">
              <w:rPr>
                <w:rFonts w:asciiTheme="minorHAnsi" w:hAnsiTheme="minorHAnsi" w:cstheme="minorHAnsi"/>
                <w:color w:val="000000"/>
                <w:sz w:val="19"/>
                <w:szCs w:val="19"/>
              </w:rPr>
              <w:t xml:space="preserve">30 minutes depending on the procedure.  </w:t>
            </w:r>
          </w:p>
        </w:tc>
      </w:tr>
      <w:tr w:rsidR="00032543" w14:paraId="1413A197" w14:textId="77777777" w:rsidTr="00A42D39">
        <w:tc>
          <w:tcPr>
            <w:tcW w:w="1725" w:type="dxa"/>
          </w:tcPr>
          <w:p w14:paraId="1B6C2BAF" w14:textId="77777777" w:rsidR="00032543" w:rsidRPr="00AC32E1" w:rsidRDefault="00AC32E1" w:rsidP="00032543">
            <w:pPr>
              <w:rPr>
                <w:rFonts w:asciiTheme="minorHAnsi" w:hAnsiTheme="minorHAnsi" w:cstheme="minorHAnsi"/>
                <w:b/>
                <w:sz w:val="19"/>
                <w:szCs w:val="19"/>
              </w:rPr>
            </w:pPr>
            <w:r w:rsidRPr="00AC32E1">
              <w:rPr>
                <w:rFonts w:asciiTheme="minorHAnsi" w:hAnsiTheme="minorHAnsi" w:cstheme="minorHAnsi"/>
                <w:b/>
                <w:sz w:val="19"/>
                <w:szCs w:val="19"/>
              </w:rPr>
              <w:lastRenderedPageBreak/>
              <w:t>Management of complications</w:t>
            </w:r>
          </w:p>
        </w:tc>
        <w:tc>
          <w:tcPr>
            <w:tcW w:w="8512" w:type="dxa"/>
          </w:tcPr>
          <w:p w14:paraId="1FD49771" w14:textId="77777777" w:rsidR="00AC32E1" w:rsidRPr="00CD3A3F" w:rsidRDefault="00AC32E1" w:rsidP="00AC32E1">
            <w:pPr>
              <w:autoSpaceDE w:val="0"/>
              <w:autoSpaceDN w:val="0"/>
              <w:adjustRightInd w:val="0"/>
              <w:rPr>
                <w:rFonts w:asciiTheme="minorHAnsi" w:hAnsiTheme="minorHAnsi" w:cstheme="minorHAnsi"/>
                <w:color w:val="000000"/>
                <w:sz w:val="19"/>
                <w:szCs w:val="19"/>
              </w:rPr>
            </w:pPr>
            <w:r w:rsidRPr="00CD3A3F">
              <w:rPr>
                <w:rFonts w:asciiTheme="minorHAnsi" w:hAnsiTheme="minorHAnsi" w:cstheme="minorHAnsi"/>
                <w:color w:val="000000"/>
                <w:sz w:val="19"/>
                <w:szCs w:val="19"/>
              </w:rPr>
              <w:t xml:space="preserve">Management of complications should be determined by </w:t>
            </w:r>
            <w:r w:rsidR="001C64A0" w:rsidRPr="00CD3A3F">
              <w:rPr>
                <w:rFonts w:asciiTheme="minorHAnsi" w:hAnsiTheme="minorHAnsi" w:cstheme="minorHAnsi"/>
                <w:color w:val="000000"/>
                <w:sz w:val="19"/>
                <w:szCs w:val="19"/>
              </w:rPr>
              <w:t>LHD</w:t>
            </w:r>
            <w:r w:rsidRPr="00CD3A3F">
              <w:rPr>
                <w:rFonts w:asciiTheme="minorHAnsi" w:hAnsiTheme="minorHAnsi" w:cstheme="minorHAnsi"/>
                <w:color w:val="000000"/>
                <w:sz w:val="19"/>
                <w:szCs w:val="19"/>
              </w:rPr>
              <w:t xml:space="preserve"> and according to the product information for the product used.</w:t>
            </w:r>
          </w:p>
          <w:p w14:paraId="39C28CBD" w14:textId="77777777" w:rsidR="00AC32E1" w:rsidRPr="00A933D7" w:rsidRDefault="00AC32E1" w:rsidP="00AC32E1">
            <w:pPr>
              <w:autoSpaceDE w:val="0"/>
              <w:autoSpaceDN w:val="0"/>
              <w:adjustRightInd w:val="0"/>
              <w:rPr>
                <w:rFonts w:asciiTheme="minorHAnsi" w:hAnsiTheme="minorHAnsi" w:cstheme="minorHAnsi"/>
                <w:b/>
                <w:color w:val="000000"/>
                <w:sz w:val="20"/>
                <w:szCs w:val="20"/>
              </w:rPr>
            </w:pPr>
          </w:p>
          <w:p w14:paraId="779DFB75" w14:textId="77777777" w:rsidR="00AC32E1" w:rsidRPr="00CD3A3F" w:rsidRDefault="00AC32E1" w:rsidP="00AC32E1">
            <w:pPr>
              <w:autoSpaceDE w:val="0"/>
              <w:autoSpaceDN w:val="0"/>
              <w:adjustRightInd w:val="0"/>
              <w:rPr>
                <w:rFonts w:asciiTheme="minorHAnsi" w:hAnsiTheme="minorHAnsi" w:cstheme="minorHAnsi"/>
                <w:bCs/>
                <w:sz w:val="19"/>
                <w:szCs w:val="19"/>
              </w:rPr>
            </w:pPr>
            <w:r w:rsidRPr="00CD3A3F">
              <w:rPr>
                <w:rFonts w:asciiTheme="minorHAnsi" w:hAnsiTheme="minorHAnsi" w:cstheme="minorHAnsi"/>
                <w:b/>
                <w:sz w:val="19"/>
                <w:szCs w:val="19"/>
              </w:rPr>
              <w:t>Allergic or anaphylactic reactions</w:t>
            </w:r>
            <w:r w:rsidR="00546589" w:rsidRPr="00CD3A3F">
              <w:rPr>
                <w:rFonts w:asciiTheme="minorHAnsi" w:hAnsiTheme="minorHAnsi" w:cstheme="minorHAnsi"/>
                <w:b/>
                <w:sz w:val="19"/>
                <w:szCs w:val="19"/>
              </w:rPr>
              <w:t>.</w:t>
            </w:r>
            <w:r w:rsidR="00546589" w:rsidRPr="00CD3A3F">
              <w:rPr>
                <w:rFonts w:asciiTheme="minorHAnsi" w:hAnsiTheme="minorHAnsi" w:cstheme="minorHAnsi"/>
                <w:b/>
                <w:color w:val="000000"/>
                <w:sz w:val="19"/>
                <w:szCs w:val="19"/>
              </w:rPr>
              <w:t xml:space="preserve"> </w:t>
            </w:r>
            <w:r w:rsidRPr="00CD3A3F">
              <w:rPr>
                <w:rFonts w:asciiTheme="minorHAnsi" w:hAnsiTheme="minorHAnsi" w:cstheme="minorHAnsi"/>
                <w:sz w:val="19"/>
                <w:szCs w:val="19"/>
              </w:rPr>
              <w:t>Allergic and anaphylactic reactions should be assessed and treated on their severity in accordance with the relevant local guidelines</w:t>
            </w:r>
            <w:r w:rsidRPr="00CD3A3F">
              <w:rPr>
                <w:rFonts w:asciiTheme="minorHAnsi" w:hAnsiTheme="minorHAnsi" w:cstheme="minorHAnsi"/>
                <w:bCs/>
                <w:sz w:val="19"/>
                <w:szCs w:val="19"/>
              </w:rPr>
              <w:t>.</w:t>
            </w:r>
          </w:p>
          <w:p w14:paraId="02C4BEAE" w14:textId="77777777" w:rsidR="00AC32E1" w:rsidRPr="00A933D7" w:rsidRDefault="00AC32E1" w:rsidP="00AC32E1">
            <w:pPr>
              <w:autoSpaceDE w:val="0"/>
              <w:autoSpaceDN w:val="0"/>
              <w:adjustRightInd w:val="0"/>
              <w:rPr>
                <w:rFonts w:asciiTheme="minorHAnsi" w:hAnsiTheme="minorHAnsi" w:cstheme="minorHAnsi"/>
                <w:bCs/>
                <w:sz w:val="20"/>
                <w:szCs w:val="20"/>
              </w:rPr>
            </w:pPr>
          </w:p>
          <w:p w14:paraId="50D3C066" w14:textId="77777777" w:rsidR="00AC32E1" w:rsidRPr="00CD3A3F" w:rsidRDefault="00AC32E1" w:rsidP="00AC32E1">
            <w:pPr>
              <w:autoSpaceDE w:val="0"/>
              <w:autoSpaceDN w:val="0"/>
              <w:adjustRightInd w:val="0"/>
              <w:rPr>
                <w:rFonts w:asciiTheme="minorHAnsi" w:hAnsiTheme="minorHAnsi" w:cstheme="minorHAnsi"/>
                <w:b/>
                <w:bCs/>
                <w:sz w:val="19"/>
                <w:szCs w:val="19"/>
              </w:rPr>
            </w:pPr>
            <w:r w:rsidRPr="00CD3A3F">
              <w:rPr>
                <w:rFonts w:asciiTheme="minorHAnsi" w:hAnsiTheme="minorHAnsi" w:cstheme="minorHAnsi"/>
                <w:b/>
                <w:bCs/>
                <w:sz w:val="19"/>
                <w:szCs w:val="19"/>
              </w:rPr>
              <w:t>Adverse reactions</w:t>
            </w:r>
          </w:p>
          <w:p w14:paraId="6688E2D2" w14:textId="77777777" w:rsidR="00AC32E1" w:rsidRPr="00CD3A3F" w:rsidRDefault="00AC32E1" w:rsidP="00AC32E1">
            <w:pPr>
              <w:autoSpaceDE w:val="0"/>
              <w:autoSpaceDN w:val="0"/>
              <w:adjustRightInd w:val="0"/>
              <w:rPr>
                <w:rFonts w:asciiTheme="minorHAnsi" w:hAnsiTheme="minorHAnsi" w:cstheme="minorHAnsi"/>
                <w:sz w:val="19"/>
                <w:szCs w:val="19"/>
              </w:rPr>
            </w:pPr>
            <w:r w:rsidRPr="00CD3A3F">
              <w:rPr>
                <w:rFonts w:asciiTheme="minorHAnsi" w:hAnsiTheme="minorHAnsi" w:cstheme="minorHAnsi"/>
                <w:sz w:val="19"/>
                <w:szCs w:val="19"/>
              </w:rPr>
              <w:t>If any adverse reactions are observed during administration:</w:t>
            </w:r>
          </w:p>
          <w:p w14:paraId="2C7273FF" w14:textId="77777777" w:rsidR="00AC32E1" w:rsidRPr="00CD3A3F" w:rsidRDefault="00AC32E1" w:rsidP="00AC32E1">
            <w:pPr>
              <w:pStyle w:val="ListParagraph"/>
              <w:numPr>
                <w:ilvl w:val="0"/>
                <w:numId w:val="29"/>
              </w:numPr>
              <w:autoSpaceDE w:val="0"/>
              <w:autoSpaceDN w:val="0"/>
              <w:adjustRightInd w:val="0"/>
              <w:rPr>
                <w:rFonts w:cstheme="minorHAnsi"/>
                <w:color w:val="000000"/>
                <w:sz w:val="19"/>
                <w:szCs w:val="19"/>
              </w:rPr>
            </w:pPr>
            <w:r w:rsidRPr="00CD3A3F">
              <w:rPr>
                <w:rFonts w:cstheme="minorHAnsi"/>
                <w:color w:val="000000"/>
                <w:sz w:val="19"/>
                <w:szCs w:val="19"/>
              </w:rPr>
              <w:t>Cease administration immediately (if in progress)</w:t>
            </w:r>
          </w:p>
          <w:p w14:paraId="3DD8D215" w14:textId="77777777" w:rsidR="00AC32E1" w:rsidRPr="00CD3A3F" w:rsidRDefault="00AC32E1" w:rsidP="00AC32E1">
            <w:pPr>
              <w:pStyle w:val="ListParagraph"/>
              <w:numPr>
                <w:ilvl w:val="0"/>
                <w:numId w:val="29"/>
              </w:numPr>
              <w:autoSpaceDE w:val="0"/>
              <w:autoSpaceDN w:val="0"/>
              <w:adjustRightInd w:val="0"/>
              <w:rPr>
                <w:rFonts w:cstheme="minorHAnsi"/>
                <w:color w:val="000000"/>
                <w:sz w:val="19"/>
                <w:szCs w:val="19"/>
              </w:rPr>
            </w:pPr>
            <w:r w:rsidRPr="00CD3A3F">
              <w:rPr>
                <w:rFonts w:cstheme="minorHAnsi"/>
                <w:color w:val="000000"/>
                <w:sz w:val="19"/>
                <w:szCs w:val="19"/>
              </w:rPr>
              <w:t xml:space="preserve">Call for assistance including request for urgent medical assistance </w:t>
            </w:r>
          </w:p>
          <w:p w14:paraId="42003E4E" w14:textId="77777777" w:rsidR="00AC32E1" w:rsidRPr="00CD3A3F" w:rsidRDefault="00AC32E1" w:rsidP="00AC32E1">
            <w:pPr>
              <w:pStyle w:val="ListParagraph"/>
              <w:numPr>
                <w:ilvl w:val="0"/>
                <w:numId w:val="29"/>
              </w:numPr>
              <w:autoSpaceDE w:val="0"/>
              <w:autoSpaceDN w:val="0"/>
              <w:adjustRightInd w:val="0"/>
              <w:rPr>
                <w:rFonts w:cstheme="minorHAnsi"/>
                <w:color w:val="000000"/>
                <w:sz w:val="19"/>
                <w:szCs w:val="19"/>
              </w:rPr>
            </w:pPr>
            <w:r w:rsidRPr="00CD3A3F">
              <w:rPr>
                <w:rFonts w:cstheme="minorHAnsi"/>
                <w:color w:val="000000"/>
                <w:sz w:val="19"/>
                <w:szCs w:val="19"/>
              </w:rPr>
              <w:t xml:space="preserve">Leave the cannula in situ </w:t>
            </w:r>
          </w:p>
          <w:p w14:paraId="1E63058A" w14:textId="77777777" w:rsidR="00AC32E1" w:rsidRPr="00CD3A3F" w:rsidRDefault="00AC32E1" w:rsidP="00AC32E1">
            <w:pPr>
              <w:pStyle w:val="ListParagraph"/>
              <w:numPr>
                <w:ilvl w:val="0"/>
                <w:numId w:val="29"/>
              </w:numPr>
              <w:autoSpaceDE w:val="0"/>
              <w:autoSpaceDN w:val="0"/>
              <w:adjustRightInd w:val="0"/>
              <w:rPr>
                <w:rFonts w:cstheme="minorHAnsi"/>
                <w:color w:val="000000"/>
                <w:sz w:val="19"/>
                <w:szCs w:val="19"/>
              </w:rPr>
            </w:pPr>
            <w:r w:rsidRPr="00CD3A3F">
              <w:rPr>
                <w:rFonts w:cstheme="minorHAnsi"/>
                <w:color w:val="000000"/>
                <w:sz w:val="19"/>
                <w:szCs w:val="19"/>
              </w:rPr>
              <w:t>Provide basic life support</w:t>
            </w:r>
          </w:p>
          <w:p w14:paraId="57D83262" w14:textId="77777777" w:rsidR="00AC32E1" w:rsidRPr="00CD3A3F" w:rsidRDefault="00AC32E1" w:rsidP="00AC32E1">
            <w:pPr>
              <w:pStyle w:val="ListParagraph"/>
              <w:autoSpaceDE w:val="0"/>
              <w:autoSpaceDN w:val="0"/>
              <w:adjustRightInd w:val="0"/>
              <w:rPr>
                <w:rFonts w:cstheme="minorHAnsi"/>
                <w:color w:val="000000"/>
                <w:sz w:val="19"/>
                <w:szCs w:val="19"/>
              </w:rPr>
            </w:pPr>
          </w:p>
          <w:p w14:paraId="1C11BCBC" w14:textId="77777777" w:rsidR="00032543" w:rsidRPr="00CD3A3F" w:rsidRDefault="00AC32E1" w:rsidP="00AC32E1">
            <w:pPr>
              <w:autoSpaceDE w:val="0"/>
              <w:autoSpaceDN w:val="0"/>
              <w:adjustRightInd w:val="0"/>
              <w:rPr>
                <w:rFonts w:eastAsia="MS Mincho" w:cs="Arial"/>
                <w:i/>
                <w:sz w:val="19"/>
                <w:szCs w:val="19"/>
              </w:rPr>
            </w:pPr>
            <w:r w:rsidRPr="00CD3A3F">
              <w:rPr>
                <w:rFonts w:asciiTheme="minorHAnsi" w:hAnsiTheme="minorHAnsi" w:cstheme="minorHAnsi"/>
                <w:bCs/>
                <w:sz w:val="19"/>
                <w:szCs w:val="19"/>
              </w:rPr>
              <w:t xml:space="preserve">The full management of anaphylactic iodinated contrast reaction is also described in the RANZCR iodinated Contrast Media Manual, page 29, 2018: </w:t>
            </w:r>
            <w:r w:rsidRPr="00CD3A3F">
              <w:rPr>
                <w:rFonts w:eastAsia="MS Mincho" w:cs="Arial"/>
                <w:i/>
                <w:sz w:val="19"/>
                <w:szCs w:val="19"/>
              </w:rPr>
              <w:t>R55. Adrenaline</w:t>
            </w:r>
            <w:r w:rsidR="007E311D" w:rsidRPr="00CD3A3F">
              <w:rPr>
                <w:rFonts w:eastAsia="MS Mincho" w:cs="Arial"/>
                <w:i/>
                <w:sz w:val="19"/>
                <w:szCs w:val="19"/>
              </w:rPr>
              <w:t xml:space="preserve"> (epinephrine)</w:t>
            </w:r>
            <w:r w:rsidRPr="00CD3A3F">
              <w:rPr>
                <w:rFonts w:eastAsia="MS Mincho" w:cs="Arial"/>
                <w:i/>
                <w:sz w:val="19"/>
                <w:szCs w:val="19"/>
              </w:rPr>
              <w:t xml:space="preserve"> is potentially </w:t>
            </w:r>
            <w:proofErr w:type="gramStart"/>
            <w:r w:rsidRPr="00CD3A3F">
              <w:rPr>
                <w:rFonts w:eastAsia="MS Mincho" w:cs="Arial"/>
                <w:i/>
                <w:sz w:val="19"/>
                <w:szCs w:val="19"/>
              </w:rPr>
              <w:t>life-saving</w:t>
            </w:r>
            <w:proofErr w:type="gramEnd"/>
            <w:r w:rsidRPr="00CD3A3F">
              <w:rPr>
                <w:rFonts w:eastAsia="MS Mincho" w:cs="Arial"/>
                <w:i/>
                <w:sz w:val="19"/>
                <w:szCs w:val="19"/>
              </w:rPr>
              <w:t xml:space="preserve"> and must be used promptly. Withholding </w:t>
            </w:r>
            <w:r w:rsidR="007E311D" w:rsidRPr="00CD3A3F">
              <w:rPr>
                <w:rFonts w:eastAsia="MS Mincho" w:cs="Arial"/>
                <w:i/>
                <w:sz w:val="19"/>
                <w:szCs w:val="19"/>
              </w:rPr>
              <w:t>A</w:t>
            </w:r>
            <w:r w:rsidRPr="00CD3A3F">
              <w:rPr>
                <w:rFonts w:eastAsia="MS Mincho" w:cs="Arial"/>
                <w:i/>
                <w:sz w:val="19"/>
                <w:szCs w:val="19"/>
              </w:rPr>
              <w:t>drenaline</w:t>
            </w:r>
            <w:r w:rsidR="007E311D" w:rsidRPr="00CD3A3F">
              <w:rPr>
                <w:rFonts w:eastAsia="MS Mincho" w:cs="Arial"/>
                <w:i/>
                <w:sz w:val="19"/>
                <w:szCs w:val="19"/>
              </w:rPr>
              <w:t xml:space="preserve"> (epinephrine)</w:t>
            </w:r>
            <w:r w:rsidRPr="00CD3A3F">
              <w:rPr>
                <w:rFonts w:eastAsia="MS Mincho" w:cs="Arial"/>
                <w:i/>
                <w:sz w:val="19"/>
                <w:szCs w:val="19"/>
              </w:rPr>
              <w:t xml:space="preserve"> due to misplaced concerns of possible adverse effects can result in deterioration and death of the patient.</w:t>
            </w:r>
          </w:p>
          <w:p w14:paraId="6F8237AF" w14:textId="77777777" w:rsidR="00AC32E1" w:rsidRPr="00A933D7" w:rsidRDefault="00AC32E1" w:rsidP="00AC32E1">
            <w:pPr>
              <w:autoSpaceDE w:val="0"/>
              <w:autoSpaceDN w:val="0"/>
              <w:adjustRightInd w:val="0"/>
              <w:rPr>
                <w:rFonts w:eastAsia="MS Mincho" w:cs="Arial"/>
                <w:i/>
              </w:rPr>
            </w:pPr>
          </w:p>
          <w:p w14:paraId="719F2809" w14:textId="77777777" w:rsidR="00AC32E1" w:rsidRPr="00CD3A3F" w:rsidRDefault="00AC32E1" w:rsidP="00AC32E1">
            <w:pPr>
              <w:autoSpaceDE w:val="0"/>
              <w:autoSpaceDN w:val="0"/>
              <w:adjustRightInd w:val="0"/>
              <w:rPr>
                <w:rFonts w:eastAsia="MS Mincho" w:cs="Arial"/>
                <w:b/>
                <w:sz w:val="19"/>
                <w:szCs w:val="19"/>
              </w:rPr>
            </w:pPr>
            <w:r w:rsidRPr="00CD3A3F">
              <w:rPr>
                <w:rFonts w:eastAsia="MS Mincho" w:cs="Arial"/>
                <w:b/>
                <w:sz w:val="19"/>
                <w:szCs w:val="19"/>
              </w:rPr>
              <w:t>Delayed reactions</w:t>
            </w:r>
          </w:p>
          <w:p w14:paraId="01CFDE07" w14:textId="77777777" w:rsidR="00AC32E1" w:rsidRPr="00CD3A3F" w:rsidRDefault="00AC32E1" w:rsidP="00AC32E1">
            <w:pPr>
              <w:autoSpaceDE w:val="0"/>
              <w:autoSpaceDN w:val="0"/>
              <w:adjustRightInd w:val="0"/>
              <w:rPr>
                <w:rFonts w:eastAsia="MS Mincho" w:cs="Arial"/>
                <w:i/>
                <w:sz w:val="19"/>
                <w:szCs w:val="19"/>
              </w:rPr>
            </w:pPr>
            <w:r w:rsidRPr="00CD3A3F">
              <w:rPr>
                <w:rFonts w:eastAsia="MS Mincho" w:cs="Arial"/>
                <w:sz w:val="19"/>
                <w:szCs w:val="19"/>
              </w:rPr>
              <w:t>The RANZCR (2018) states:</w:t>
            </w:r>
            <w:r w:rsidR="00453E6C" w:rsidRPr="00CD3A3F">
              <w:rPr>
                <w:rFonts w:eastAsia="MS Mincho" w:cs="Arial"/>
                <w:i/>
                <w:sz w:val="19"/>
                <w:szCs w:val="19"/>
              </w:rPr>
              <w:t xml:space="preserve"> </w:t>
            </w:r>
            <w:r w:rsidRPr="00CD3A3F">
              <w:rPr>
                <w:rFonts w:eastAsia="MS Mincho" w:cs="Arial"/>
                <w:i/>
                <w:sz w:val="19"/>
                <w:szCs w:val="19"/>
              </w:rPr>
              <w:t>Late adverse contrast media reactions occur between one hour and one week after</w:t>
            </w:r>
            <w:r w:rsidR="00453E6C" w:rsidRPr="00CD3A3F">
              <w:rPr>
                <w:rFonts w:eastAsia="MS Mincho" w:cs="Arial"/>
                <w:i/>
                <w:sz w:val="19"/>
                <w:szCs w:val="19"/>
              </w:rPr>
              <w:t xml:space="preserve"> </w:t>
            </w:r>
            <w:r w:rsidRPr="00CD3A3F">
              <w:rPr>
                <w:rFonts w:eastAsia="MS Mincho" w:cs="Arial"/>
                <w:i/>
                <w:sz w:val="19"/>
                <w:szCs w:val="19"/>
              </w:rPr>
              <w:t>intravascular iodinated contrast media administration. These are typically skin reactions with a maculopapular rash being most common. Less frequent skin reactions include angioedema,</w:t>
            </w:r>
            <w:r w:rsidR="00453E6C" w:rsidRPr="00CD3A3F">
              <w:rPr>
                <w:rFonts w:eastAsia="MS Mincho" w:cs="Arial"/>
                <w:i/>
                <w:sz w:val="19"/>
                <w:szCs w:val="19"/>
              </w:rPr>
              <w:t xml:space="preserve"> </w:t>
            </w:r>
            <w:r w:rsidRPr="00CD3A3F">
              <w:rPr>
                <w:rFonts w:eastAsia="MS Mincho" w:cs="Arial"/>
                <w:i/>
                <w:sz w:val="19"/>
                <w:szCs w:val="19"/>
              </w:rPr>
              <w:t>urticaria and erythema and painful salivary gland swelling. Delayed contrast media reactions are not typically associated with bronchospasm or laryngeal oedema.</w:t>
            </w:r>
          </w:p>
          <w:p w14:paraId="1E8576A8" w14:textId="77777777" w:rsidR="00AC32E1" w:rsidRPr="00CD3A3F" w:rsidRDefault="00453E6C" w:rsidP="00453E6C">
            <w:pPr>
              <w:tabs>
                <w:tab w:val="left" w:pos="2780"/>
              </w:tabs>
              <w:autoSpaceDE w:val="0"/>
              <w:autoSpaceDN w:val="0"/>
              <w:adjustRightInd w:val="0"/>
              <w:rPr>
                <w:rFonts w:eastAsia="MS Mincho" w:cs="Arial"/>
                <w:i/>
                <w:sz w:val="19"/>
                <w:szCs w:val="19"/>
              </w:rPr>
            </w:pPr>
            <w:r w:rsidRPr="00CD3A3F">
              <w:rPr>
                <w:rFonts w:eastAsia="MS Mincho" w:cs="Arial"/>
                <w:i/>
                <w:sz w:val="19"/>
                <w:szCs w:val="19"/>
              </w:rPr>
              <w:tab/>
            </w:r>
          </w:p>
          <w:p w14:paraId="0125C2C9" w14:textId="77777777" w:rsidR="00AC32E1" w:rsidRPr="00CD3A3F" w:rsidRDefault="00AC32E1" w:rsidP="00AC32E1">
            <w:pPr>
              <w:autoSpaceDE w:val="0"/>
              <w:autoSpaceDN w:val="0"/>
              <w:adjustRightInd w:val="0"/>
              <w:rPr>
                <w:rFonts w:eastAsia="MS Mincho" w:cs="Arial"/>
                <w:i/>
                <w:sz w:val="20"/>
                <w:szCs w:val="20"/>
              </w:rPr>
            </w:pPr>
            <w:r w:rsidRPr="00CD3A3F">
              <w:rPr>
                <w:rFonts w:eastAsia="MS Mincho" w:cs="Arial"/>
                <w:i/>
                <w:sz w:val="19"/>
                <w:szCs w:val="19"/>
              </w:rPr>
              <w:t>The effectiveness of premedication with corticosteroids in reducing the incidence of recurrent delayed contrast media reaction is unknown.</w:t>
            </w:r>
            <w:r w:rsidR="00453E6C" w:rsidRPr="00CD3A3F">
              <w:rPr>
                <w:rFonts w:eastAsia="MS Mincho" w:cs="Arial"/>
                <w:i/>
                <w:sz w:val="19"/>
                <w:szCs w:val="19"/>
              </w:rPr>
              <w:t xml:space="preserve"> </w:t>
            </w:r>
            <w:r w:rsidRPr="00CD3A3F">
              <w:rPr>
                <w:rFonts w:eastAsia="MS Mincho" w:cs="Arial"/>
                <w:i/>
                <w:sz w:val="19"/>
                <w:szCs w:val="19"/>
              </w:rPr>
              <w:t>The incidence of reported late adverse reactions varies in the literature but is likely to be 4% or less. There is a possible increased incidence of late reactions to iodinated contrast media in patients who have received interleukin-2 (I</w:t>
            </w:r>
            <w:r w:rsidRPr="00CD3A3F">
              <w:rPr>
                <w:rFonts w:eastAsia="MS Mincho" w:cs="Arial"/>
                <w:i/>
                <w:sz w:val="20"/>
                <w:szCs w:val="20"/>
              </w:rPr>
              <w:t>L-2).</w:t>
            </w:r>
          </w:p>
          <w:p w14:paraId="20AE4288" w14:textId="77777777" w:rsidR="00453E6C" w:rsidRPr="00A933D7" w:rsidRDefault="00453E6C" w:rsidP="00AC32E1">
            <w:pPr>
              <w:autoSpaceDE w:val="0"/>
              <w:autoSpaceDN w:val="0"/>
              <w:adjustRightInd w:val="0"/>
              <w:rPr>
                <w:rFonts w:eastAsia="MS Mincho" w:cs="Arial"/>
                <w:i/>
              </w:rPr>
            </w:pPr>
          </w:p>
          <w:p w14:paraId="583B2702" w14:textId="77777777" w:rsidR="00AC32E1" w:rsidRPr="00CD3A3F" w:rsidRDefault="00AC32E1" w:rsidP="00AC32E1">
            <w:pPr>
              <w:autoSpaceDE w:val="0"/>
              <w:autoSpaceDN w:val="0"/>
              <w:adjustRightInd w:val="0"/>
              <w:rPr>
                <w:rFonts w:asciiTheme="minorHAnsi" w:hAnsiTheme="minorHAnsi" w:cstheme="minorHAnsi"/>
                <w:b/>
                <w:color w:val="000000"/>
                <w:sz w:val="20"/>
                <w:szCs w:val="20"/>
              </w:rPr>
            </w:pPr>
            <w:r w:rsidRPr="00CD3A3F">
              <w:rPr>
                <w:rFonts w:asciiTheme="minorHAnsi" w:hAnsiTheme="minorHAnsi" w:cstheme="minorHAnsi"/>
                <w:b/>
                <w:color w:val="000000"/>
                <w:sz w:val="20"/>
                <w:szCs w:val="20"/>
              </w:rPr>
              <w:t>Extravasation</w:t>
            </w:r>
          </w:p>
          <w:p w14:paraId="705467A1" w14:textId="77777777" w:rsidR="00AC32E1" w:rsidRPr="00CD3A3F" w:rsidRDefault="00AC32E1" w:rsidP="00AC32E1">
            <w:pPr>
              <w:autoSpaceDE w:val="0"/>
              <w:autoSpaceDN w:val="0"/>
              <w:adjustRightInd w:val="0"/>
              <w:rPr>
                <w:rFonts w:asciiTheme="minorHAnsi" w:hAnsiTheme="minorHAnsi" w:cstheme="minorHAnsi"/>
                <w:sz w:val="20"/>
                <w:szCs w:val="20"/>
              </w:rPr>
            </w:pPr>
            <w:r w:rsidRPr="00CD3A3F">
              <w:rPr>
                <w:rFonts w:asciiTheme="minorHAnsi" w:hAnsiTheme="minorHAnsi" w:cstheme="minorHAnsi"/>
                <w:sz w:val="20"/>
                <w:szCs w:val="20"/>
              </w:rPr>
              <w:t>Extravasation of a contrast medium during intravascular injection may cause tissue necrosis and/or compartment syndrome, particularly in patients with severe arterial or venous disease. Ensure intravascular placement of catheters prior to injection. Monitor patients for extravasation and advise patients to seek medical care for progression of symptoms. (Ref</w:t>
            </w:r>
            <w:r w:rsidR="00453E6C" w:rsidRPr="00CD3A3F">
              <w:rPr>
                <w:rFonts w:asciiTheme="minorHAnsi" w:hAnsiTheme="minorHAnsi" w:cstheme="minorHAnsi"/>
                <w:sz w:val="20"/>
                <w:szCs w:val="20"/>
              </w:rPr>
              <w:t>:</w:t>
            </w:r>
            <w:r w:rsidRPr="00CD3A3F">
              <w:rPr>
                <w:rFonts w:asciiTheme="minorHAnsi" w:hAnsiTheme="minorHAnsi" w:cstheme="minorHAnsi"/>
                <w:sz w:val="20"/>
                <w:szCs w:val="20"/>
              </w:rPr>
              <w:t xml:space="preserve"> GE </w:t>
            </w:r>
            <w:proofErr w:type="spellStart"/>
            <w:r w:rsidRPr="00CD3A3F">
              <w:rPr>
                <w:rFonts w:asciiTheme="minorHAnsi" w:hAnsiTheme="minorHAnsi" w:cstheme="minorHAnsi"/>
                <w:sz w:val="20"/>
                <w:szCs w:val="20"/>
              </w:rPr>
              <w:t>Omnipaque</w:t>
            </w:r>
            <w:proofErr w:type="spellEnd"/>
            <w:r w:rsidRPr="00CD3A3F">
              <w:rPr>
                <w:rFonts w:asciiTheme="minorHAnsi" w:hAnsiTheme="minorHAnsi" w:cstheme="minorHAnsi"/>
                <w:sz w:val="20"/>
                <w:szCs w:val="20"/>
              </w:rPr>
              <w:t xml:space="preserve"> Product Information Sheets, April 2018)</w:t>
            </w:r>
            <w:r w:rsidR="00AD4899" w:rsidRPr="00AD4899">
              <w:rPr>
                <w:rFonts w:asciiTheme="minorHAnsi" w:hAnsiTheme="minorHAnsi" w:cstheme="minorHAnsi"/>
                <w:sz w:val="20"/>
                <w:szCs w:val="20"/>
                <w:vertAlign w:val="superscript"/>
              </w:rPr>
              <w:t>5</w:t>
            </w:r>
            <w:r w:rsidRPr="00CD3A3F">
              <w:rPr>
                <w:rFonts w:asciiTheme="minorHAnsi" w:hAnsiTheme="minorHAnsi" w:cstheme="minorHAnsi"/>
                <w:sz w:val="20"/>
                <w:szCs w:val="20"/>
              </w:rPr>
              <w:t xml:space="preserve">.  </w:t>
            </w:r>
          </w:p>
          <w:p w14:paraId="71188339" w14:textId="77777777" w:rsidR="00453E6C" w:rsidRPr="00CD3A3F" w:rsidRDefault="00453E6C" w:rsidP="00AC32E1">
            <w:pPr>
              <w:autoSpaceDE w:val="0"/>
              <w:autoSpaceDN w:val="0"/>
              <w:adjustRightInd w:val="0"/>
              <w:rPr>
                <w:rFonts w:asciiTheme="minorHAnsi" w:hAnsiTheme="minorHAnsi" w:cstheme="minorHAnsi"/>
                <w:i/>
                <w:sz w:val="20"/>
                <w:szCs w:val="20"/>
              </w:rPr>
            </w:pPr>
          </w:p>
          <w:p w14:paraId="546F05BC" w14:textId="77777777" w:rsidR="00AC32E1" w:rsidRPr="00CD3A3F" w:rsidRDefault="00AC32E1" w:rsidP="00AC32E1">
            <w:pPr>
              <w:autoSpaceDE w:val="0"/>
              <w:autoSpaceDN w:val="0"/>
              <w:adjustRightInd w:val="0"/>
              <w:rPr>
                <w:rFonts w:asciiTheme="minorHAnsi" w:hAnsiTheme="minorHAnsi" w:cstheme="minorHAnsi"/>
                <w:color w:val="000000"/>
                <w:sz w:val="20"/>
                <w:szCs w:val="20"/>
              </w:rPr>
            </w:pPr>
            <w:r w:rsidRPr="00CD3A3F">
              <w:rPr>
                <w:rFonts w:asciiTheme="minorHAnsi" w:hAnsiTheme="minorHAnsi" w:cstheme="minorHAnsi"/>
                <w:color w:val="000000"/>
                <w:sz w:val="20"/>
                <w:szCs w:val="20"/>
              </w:rPr>
              <w:t xml:space="preserve">If contrast media extravasation occurs, conservative treatment with limb elevation, cold or warm compresses and monitoring for compartment syndrome is recommended. Surgical referral is required if compartment syndrome should develop. Specific documentation of the adverse event is required as per </w:t>
            </w:r>
            <w:r w:rsidR="00453E6C" w:rsidRPr="00CD3A3F">
              <w:rPr>
                <w:rFonts w:asciiTheme="minorHAnsi" w:hAnsiTheme="minorHAnsi" w:cstheme="minorHAnsi"/>
                <w:color w:val="000000"/>
                <w:sz w:val="20"/>
                <w:szCs w:val="20"/>
              </w:rPr>
              <w:t>LHD</w:t>
            </w:r>
            <w:r w:rsidRPr="00CD3A3F">
              <w:rPr>
                <w:rFonts w:asciiTheme="minorHAnsi" w:hAnsiTheme="minorHAnsi" w:cstheme="minorHAnsi"/>
                <w:color w:val="000000"/>
                <w:sz w:val="20"/>
                <w:szCs w:val="20"/>
              </w:rPr>
              <w:t xml:space="preserve"> policy/procedure</w:t>
            </w:r>
            <w:r w:rsidR="00453E6C" w:rsidRPr="00CD3A3F">
              <w:rPr>
                <w:rFonts w:asciiTheme="minorHAnsi" w:hAnsiTheme="minorHAnsi" w:cstheme="minorHAnsi"/>
                <w:color w:val="000000"/>
                <w:sz w:val="20"/>
                <w:szCs w:val="20"/>
              </w:rPr>
              <w:t>.</w:t>
            </w:r>
          </w:p>
          <w:p w14:paraId="423BEA05" w14:textId="77777777" w:rsidR="007F6FCD" w:rsidRPr="00A933D7" w:rsidRDefault="007F6FCD" w:rsidP="00AC32E1">
            <w:pPr>
              <w:autoSpaceDE w:val="0"/>
              <w:autoSpaceDN w:val="0"/>
              <w:adjustRightInd w:val="0"/>
              <w:rPr>
                <w:rFonts w:asciiTheme="minorHAnsi" w:hAnsiTheme="minorHAnsi" w:cstheme="minorHAnsi"/>
                <w:b/>
                <w:color w:val="000000"/>
              </w:rPr>
            </w:pPr>
          </w:p>
          <w:p w14:paraId="0F8D8ACD" w14:textId="77777777" w:rsidR="007F6FCD" w:rsidRPr="00CD3A3F" w:rsidRDefault="007F6FCD" w:rsidP="00AC32E1">
            <w:pPr>
              <w:autoSpaceDE w:val="0"/>
              <w:autoSpaceDN w:val="0"/>
              <w:adjustRightInd w:val="0"/>
              <w:rPr>
                <w:rFonts w:asciiTheme="minorHAnsi" w:hAnsiTheme="minorHAnsi" w:cstheme="minorHAnsi"/>
                <w:b/>
                <w:color w:val="000000"/>
                <w:sz w:val="19"/>
                <w:szCs w:val="19"/>
              </w:rPr>
            </w:pPr>
            <w:r w:rsidRPr="00CD3A3F">
              <w:rPr>
                <w:rFonts w:asciiTheme="minorHAnsi" w:hAnsiTheme="minorHAnsi" w:cstheme="minorHAnsi"/>
                <w:b/>
                <w:color w:val="000000"/>
                <w:sz w:val="19"/>
                <w:szCs w:val="19"/>
              </w:rPr>
              <w:t>Management of CIN Complication</w:t>
            </w:r>
          </w:p>
          <w:p w14:paraId="44128ACD" w14:textId="77777777" w:rsidR="007F6FCD" w:rsidRPr="00CD3A3F" w:rsidRDefault="007F6FCD" w:rsidP="007F6FCD">
            <w:pPr>
              <w:autoSpaceDE w:val="0"/>
              <w:autoSpaceDN w:val="0"/>
              <w:adjustRightInd w:val="0"/>
              <w:rPr>
                <w:rFonts w:cs="Arial"/>
                <w:sz w:val="20"/>
                <w:szCs w:val="20"/>
              </w:rPr>
            </w:pPr>
            <w:r w:rsidRPr="00CD3A3F">
              <w:rPr>
                <w:rFonts w:cs="Arial"/>
                <w:sz w:val="20"/>
                <w:szCs w:val="20"/>
              </w:rPr>
              <w:t>Please see Precautions and Adverse Effects section.  CIN occurs after the patient has left the Medical Imaging department, thus managed via local procedures/protocols</w:t>
            </w:r>
            <w:r w:rsidR="000E014B" w:rsidRPr="000E014B">
              <w:rPr>
                <w:rFonts w:cs="Arial"/>
                <w:sz w:val="20"/>
                <w:szCs w:val="20"/>
                <w:vertAlign w:val="superscript"/>
              </w:rPr>
              <w:t>8</w:t>
            </w:r>
            <w:r w:rsidRPr="00CD3A3F">
              <w:rPr>
                <w:rFonts w:cs="Arial"/>
                <w:sz w:val="20"/>
                <w:szCs w:val="20"/>
              </w:rPr>
              <w:t xml:space="preserve">. </w:t>
            </w:r>
          </w:p>
          <w:p w14:paraId="1663BA62" w14:textId="77777777" w:rsidR="007F6FCD" w:rsidRPr="00CD3A3F" w:rsidRDefault="007F6FCD" w:rsidP="007F6FCD">
            <w:pPr>
              <w:autoSpaceDE w:val="0"/>
              <w:autoSpaceDN w:val="0"/>
              <w:adjustRightInd w:val="0"/>
              <w:rPr>
                <w:rFonts w:cs="Arial"/>
                <w:sz w:val="18"/>
                <w:szCs w:val="18"/>
              </w:rPr>
            </w:pPr>
          </w:p>
          <w:p w14:paraId="0AF20843" w14:textId="77777777" w:rsidR="007F6FCD" w:rsidRPr="00CD3A3F" w:rsidRDefault="007F6FCD" w:rsidP="007F6FCD">
            <w:pPr>
              <w:autoSpaceDE w:val="0"/>
              <w:autoSpaceDN w:val="0"/>
              <w:adjustRightInd w:val="0"/>
              <w:rPr>
                <w:rFonts w:cs="Arial"/>
                <w:bCs/>
                <w:sz w:val="18"/>
                <w:szCs w:val="18"/>
              </w:rPr>
            </w:pPr>
            <w:r w:rsidRPr="00CD3A3F">
              <w:rPr>
                <w:rFonts w:cs="Arial"/>
                <w:sz w:val="18"/>
                <w:szCs w:val="18"/>
              </w:rPr>
              <w:t>Refs:</w:t>
            </w:r>
            <w:r w:rsidR="006303CE" w:rsidRPr="00CD3A3F">
              <w:rPr>
                <w:rFonts w:cs="Arial"/>
                <w:sz w:val="18"/>
                <w:szCs w:val="18"/>
              </w:rPr>
              <w:t xml:space="preserve">      1.</w:t>
            </w:r>
            <w:r w:rsidRPr="00CD3A3F">
              <w:rPr>
                <w:rFonts w:cs="Arial"/>
                <w:sz w:val="18"/>
                <w:szCs w:val="18"/>
              </w:rPr>
              <w:t xml:space="preserve"> </w:t>
            </w:r>
            <w:r w:rsidRPr="00CD3A3F">
              <w:rPr>
                <w:rFonts w:cs="Arial"/>
                <w:color w:val="000000"/>
                <w:sz w:val="18"/>
                <w:szCs w:val="18"/>
              </w:rPr>
              <w:t>Iodinated Contrast Media Guideline</w:t>
            </w:r>
            <w:r w:rsidRPr="00CD3A3F">
              <w:rPr>
                <w:rFonts w:cs="Arial"/>
                <w:sz w:val="18"/>
                <w:szCs w:val="18"/>
              </w:rPr>
              <w:t xml:space="preserve"> RANZCR </w:t>
            </w:r>
            <w:r w:rsidRPr="00CD3A3F">
              <w:rPr>
                <w:rFonts w:cs="Arial"/>
                <w:bCs/>
                <w:sz w:val="18"/>
                <w:szCs w:val="18"/>
              </w:rPr>
              <w:t xml:space="preserve"> 2018</w:t>
            </w:r>
            <w:r w:rsidR="002C06F4" w:rsidRPr="002C06F4">
              <w:rPr>
                <w:rFonts w:cs="Arial"/>
                <w:bCs/>
                <w:sz w:val="18"/>
                <w:szCs w:val="18"/>
                <w:vertAlign w:val="superscript"/>
              </w:rPr>
              <w:t>3</w:t>
            </w:r>
          </w:p>
          <w:p w14:paraId="0233B0D6" w14:textId="77777777" w:rsidR="00AC32E1" w:rsidRPr="00A42D39" w:rsidRDefault="006303CE" w:rsidP="00A42D39">
            <w:pPr>
              <w:autoSpaceDE w:val="0"/>
              <w:autoSpaceDN w:val="0"/>
              <w:adjustRightInd w:val="0"/>
              <w:ind w:left="720"/>
              <w:rPr>
                <w:rStyle w:val="A1"/>
                <w:rFonts w:cstheme="minorBidi"/>
                <w:i w:val="0"/>
                <w:iCs w:val="0"/>
                <w:color w:val="0000FF"/>
                <w:sz w:val="24"/>
                <w:szCs w:val="24"/>
              </w:rPr>
            </w:pPr>
            <w:r w:rsidRPr="00CD3A3F">
              <w:rPr>
                <w:rFonts w:cs="Arial"/>
                <w:bCs/>
                <w:sz w:val="18"/>
                <w:szCs w:val="18"/>
              </w:rPr>
              <w:t xml:space="preserve">2. </w:t>
            </w:r>
            <w:r w:rsidR="007F6FCD" w:rsidRPr="00CD3A3F">
              <w:rPr>
                <w:rFonts w:cs="Arial"/>
                <w:bCs/>
                <w:sz w:val="18"/>
                <w:szCs w:val="18"/>
              </w:rPr>
              <w:t>NICE</w:t>
            </w:r>
            <w:r w:rsidR="007F6FCD" w:rsidRPr="00CD3A3F">
              <w:rPr>
                <w:color w:val="000000"/>
                <w:sz w:val="18"/>
                <w:szCs w:val="18"/>
              </w:rPr>
              <w:t xml:space="preserve"> Guideline Preventing contrast induced acute kidney injury.</w:t>
            </w:r>
            <w:r w:rsidR="000E014B">
              <w:rPr>
                <w:color w:val="000000"/>
                <w:sz w:val="18"/>
                <w:szCs w:val="18"/>
                <w:vertAlign w:val="superscript"/>
              </w:rPr>
              <w:t xml:space="preserve">6 </w:t>
            </w:r>
            <w:hyperlink r:id="rId12" w:history="1">
              <w:r w:rsidR="007F6FCD" w:rsidRPr="00CD3A3F">
                <w:rPr>
                  <w:rStyle w:val="Hyperlink"/>
                  <w:sz w:val="18"/>
                  <w:szCs w:val="18"/>
                </w:rPr>
                <w:t>http://www.nice.org.uk/guidance/cg169/evidence</w:t>
              </w:r>
            </w:hyperlink>
          </w:p>
        </w:tc>
      </w:tr>
      <w:tr w:rsidR="00032543" w14:paraId="637BCD8C" w14:textId="77777777" w:rsidTr="00A42D39">
        <w:tc>
          <w:tcPr>
            <w:tcW w:w="1725" w:type="dxa"/>
          </w:tcPr>
          <w:p w14:paraId="502AD8E7" w14:textId="77777777" w:rsidR="00032543" w:rsidRPr="00EA3785" w:rsidRDefault="00453E6C" w:rsidP="006303CE">
            <w:pPr>
              <w:rPr>
                <w:rFonts w:asciiTheme="minorHAnsi" w:hAnsiTheme="minorHAnsi" w:cstheme="minorHAnsi"/>
                <w:b/>
                <w:i/>
                <w:sz w:val="19"/>
                <w:szCs w:val="19"/>
              </w:rPr>
            </w:pPr>
            <w:r>
              <w:rPr>
                <w:rFonts w:asciiTheme="minorHAnsi" w:hAnsiTheme="minorHAnsi" w:cstheme="minorHAnsi"/>
                <w:b/>
                <w:sz w:val="19"/>
                <w:szCs w:val="19"/>
              </w:rPr>
              <w:t>CT IV d</w:t>
            </w:r>
            <w:r w:rsidRPr="00EA3785">
              <w:rPr>
                <w:rFonts w:asciiTheme="minorHAnsi" w:hAnsiTheme="minorHAnsi" w:cstheme="minorHAnsi"/>
                <w:b/>
                <w:sz w:val="19"/>
                <w:szCs w:val="19"/>
              </w:rPr>
              <w:t>ocumentation</w:t>
            </w:r>
            <w:r>
              <w:rPr>
                <w:rFonts w:asciiTheme="minorHAnsi" w:hAnsiTheme="minorHAnsi" w:cstheme="minorHAnsi"/>
                <w:b/>
                <w:sz w:val="19"/>
                <w:szCs w:val="19"/>
              </w:rPr>
              <w:t xml:space="preserve"> recording</w:t>
            </w:r>
          </w:p>
        </w:tc>
        <w:tc>
          <w:tcPr>
            <w:tcW w:w="8512" w:type="dxa"/>
          </w:tcPr>
          <w:p w14:paraId="16CFE57F" w14:textId="77777777" w:rsidR="00453E6C" w:rsidRPr="00CD3A3F" w:rsidRDefault="00453E6C" w:rsidP="00453E6C">
            <w:pPr>
              <w:autoSpaceDE w:val="0"/>
              <w:autoSpaceDN w:val="0"/>
              <w:adjustRightInd w:val="0"/>
              <w:rPr>
                <w:rFonts w:asciiTheme="minorHAnsi" w:hAnsiTheme="minorHAnsi" w:cstheme="minorHAnsi"/>
                <w:sz w:val="19"/>
                <w:szCs w:val="19"/>
              </w:rPr>
            </w:pPr>
            <w:r w:rsidRPr="00CD3A3F">
              <w:rPr>
                <w:rFonts w:asciiTheme="minorHAnsi" w:hAnsiTheme="minorHAnsi" w:cstheme="minorHAnsi"/>
                <w:sz w:val="19"/>
                <w:szCs w:val="19"/>
              </w:rPr>
              <w:t>Documentation must be undertaken</w:t>
            </w:r>
            <w:r w:rsidR="001C64A0" w:rsidRPr="00CD3A3F">
              <w:rPr>
                <w:rFonts w:asciiTheme="minorHAnsi" w:hAnsiTheme="minorHAnsi" w:cstheme="minorHAnsi"/>
                <w:sz w:val="19"/>
                <w:szCs w:val="19"/>
              </w:rPr>
              <w:t xml:space="preserve"> as per legal requirements and LHD</w:t>
            </w:r>
            <w:r w:rsidRPr="00CD3A3F">
              <w:rPr>
                <w:rFonts w:asciiTheme="minorHAnsi" w:hAnsiTheme="minorHAnsi" w:cstheme="minorHAnsi"/>
                <w:sz w:val="19"/>
                <w:szCs w:val="19"/>
              </w:rPr>
              <w:t xml:space="preserve"> policy.</w:t>
            </w:r>
            <w:r w:rsidR="001C64A0" w:rsidRPr="00CD3A3F">
              <w:rPr>
                <w:rFonts w:asciiTheme="minorHAnsi" w:hAnsiTheme="minorHAnsi" w:cstheme="minorHAnsi"/>
                <w:sz w:val="19"/>
                <w:szCs w:val="19"/>
              </w:rPr>
              <w:t xml:space="preserve"> </w:t>
            </w:r>
            <w:r w:rsidRPr="00CD3A3F">
              <w:rPr>
                <w:rFonts w:asciiTheme="minorHAnsi" w:hAnsiTheme="minorHAnsi" w:cstheme="minorHAnsi"/>
                <w:sz w:val="19"/>
                <w:szCs w:val="19"/>
              </w:rPr>
              <w:t xml:space="preserve">Record the administration in the </w:t>
            </w:r>
            <w:proofErr w:type="spellStart"/>
            <w:r w:rsidRPr="00CD3A3F">
              <w:rPr>
                <w:rFonts w:asciiTheme="minorHAnsi" w:hAnsiTheme="minorHAnsi" w:cstheme="minorHAnsi"/>
                <w:sz w:val="19"/>
                <w:szCs w:val="19"/>
              </w:rPr>
              <w:t>eMEDs</w:t>
            </w:r>
            <w:proofErr w:type="spellEnd"/>
            <w:r w:rsidRPr="00CD3A3F">
              <w:rPr>
                <w:rFonts w:asciiTheme="minorHAnsi" w:hAnsiTheme="minorHAnsi" w:cstheme="minorHAnsi"/>
                <w:sz w:val="19"/>
                <w:szCs w:val="19"/>
              </w:rPr>
              <w:t xml:space="preserve"> (or equivalent) function of the patient’s health record, including strength, batch number, volume, route of administration and the performing staff member.</w:t>
            </w:r>
          </w:p>
          <w:p w14:paraId="40A3E8DE" w14:textId="77777777" w:rsidR="00453E6C" w:rsidRPr="00A933D7" w:rsidRDefault="00453E6C" w:rsidP="00453E6C">
            <w:pPr>
              <w:autoSpaceDE w:val="0"/>
              <w:autoSpaceDN w:val="0"/>
              <w:adjustRightInd w:val="0"/>
              <w:rPr>
                <w:rFonts w:asciiTheme="minorHAnsi" w:hAnsiTheme="minorHAnsi" w:cstheme="minorHAnsi"/>
              </w:rPr>
            </w:pPr>
          </w:p>
          <w:p w14:paraId="6B295B2C" w14:textId="77777777" w:rsidR="00044D37" w:rsidRPr="00A030AB" w:rsidRDefault="00966204" w:rsidP="00453E6C">
            <w:pPr>
              <w:autoSpaceDE w:val="0"/>
              <w:autoSpaceDN w:val="0"/>
              <w:adjustRightInd w:val="0"/>
              <w:rPr>
                <w:rFonts w:asciiTheme="minorHAnsi" w:hAnsiTheme="minorHAnsi" w:cstheme="minorHAnsi"/>
                <w:sz w:val="19"/>
                <w:szCs w:val="19"/>
              </w:rPr>
            </w:pPr>
            <w:r w:rsidRPr="00CD3A3F">
              <w:rPr>
                <w:rFonts w:asciiTheme="minorHAnsi" w:hAnsiTheme="minorHAnsi" w:cstheme="minorHAnsi"/>
                <w:sz w:val="19"/>
                <w:szCs w:val="19"/>
              </w:rPr>
              <w:t>P</w:t>
            </w:r>
            <w:r w:rsidR="00044D37" w:rsidRPr="00CD3A3F">
              <w:rPr>
                <w:rFonts w:asciiTheme="minorHAnsi" w:hAnsiTheme="minorHAnsi" w:cstheme="minorHAnsi"/>
                <w:sz w:val="19"/>
                <w:szCs w:val="19"/>
              </w:rPr>
              <w:t xml:space="preserve">atient </w:t>
            </w:r>
            <w:r w:rsidRPr="00CD3A3F">
              <w:rPr>
                <w:rFonts w:asciiTheme="minorHAnsi" w:hAnsiTheme="minorHAnsi" w:cstheme="minorHAnsi"/>
                <w:sz w:val="19"/>
                <w:szCs w:val="19"/>
              </w:rPr>
              <w:t xml:space="preserve">(consumer) </w:t>
            </w:r>
            <w:r w:rsidR="00044D37" w:rsidRPr="00CD3A3F">
              <w:rPr>
                <w:rFonts w:asciiTheme="minorHAnsi" w:hAnsiTheme="minorHAnsi" w:cstheme="minorHAnsi"/>
                <w:sz w:val="19"/>
                <w:szCs w:val="19"/>
              </w:rPr>
              <w:t xml:space="preserve">information on </w:t>
            </w:r>
            <w:proofErr w:type="gramStart"/>
            <w:r w:rsidR="00044D37" w:rsidRPr="00CD3A3F">
              <w:rPr>
                <w:rFonts w:asciiTheme="minorHAnsi" w:hAnsiTheme="minorHAnsi" w:cstheme="minorHAnsi"/>
                <w:sz w:val="19"/>
                <w:szCs w:val="19"/>
              </w:rPr>
              <w:t xml:space="preserve">CT </w:t>
            </w:r>
            <w:r w:rsidRPr="00CD3A3F">
              <w:rPr>
                <w:rFonts w:asciiTheme="minorHAnsi" w:hAnsiTheme="minorHAnsi" w:cstheme="minorHAnsi"/>
                <w:sz w:val="19"/>
                <w:szCs w:val="19"/>
              </w:rPr>
              <w:t>Scans</w:t>
            </w:r>
            <w:proofErr w:type="gramEnd"/>
            <w:r w:rsidRPr="00CD3A3F">
              <w:rPr>
                <w:rFonts w:asciiTheme="minorHAnsi" w:hAnsiTheme="minorHAnsi" w:cstheme="minorHAnsi"/>
                <w:sz w:val="19"/>
                <w:szCs w:val="19"/>
              </w:rPr>
              <w:t xml:space="preserve"> with/without </w:t>
            </w:r>
            <w:r w:rsidR="00044D37" w:rsidRPr="00CD3A3F">
              <w:rPr>
                <w:rFonts w:asciiTheme="minorHAnsi" w:hAnsiTheme="minorHAnsi" w:cstheme="minorHAnsi"/>
                <w:sz w:val="19"/>
                <w:szCs w:val="19"/>
              </w:rPr>
              <w:t xml:space="preserve">Contrast </w:t>
            </w:r>
            <w:r w:rsidRPr="00CD3A3F">
              <w:rPr>
                <w:rFonts w:asciiTheme="minorHAnsi" w:hAnsiTheme="minorHAnsi" w:cstheme="minorHAnsi"/>
                <w:sz w:val="19"/>
                <w:szCs w:val="19"/>
              </w:rPr>
              <w:t xml:space="preserve">must be provided to the patient together with the opportunity </w:t>
            </w:r>
            <w:r w:rsidRPr="00A030AB">
              <w:rPr>
                <w:rFonts w:asciiTheme="minorHAnsi" w:hAnsiTheme="minorHAnsi" w:cstheme="minorHAnsi"/>
                <w:sz w:val="19"/>
                <w:szCs w:val="19"/>
              </w:rPr>
              <w:t>to answer any questions. Documentation that this has occurred exists on the CT Contrast Administration Checklist (</w:t>
            </w:r>
            <w:r w:rsidRPr="00A030AB">
              <w:rPr>
                <w:rFonts w:cs="Arial"/>
                <w:i/>
                <w:sz w:val="19"/>
                <w:szCs w:val="19"/>
              </w:rPr>
              <w:t xml:space="preserve">NSW State Form </w:t>
            </w:r>
            <w:r w:rsidR="00F8662F" w:rsidRPr="00A030AB">
              <w:rPr>
                <w:b/>
                <w:sz w:val="19"/>
                <w:szCs w:val="19"/>
              </w:rPr>
              <w:t>SMR060.160</w:t>
            </w:r>
            <w:r w:rsidR="00A030AB" w:rsidRPr="00A030AB">
              <w:rPr>
                <w:rFonts w:cs="Arial"/>
                <w:i/>
                <w:sz w:val="19"/>
                <w:szCs w:val="19"/>
              </w:rPr>
              <w:t>)</w:t>
            </w:r>
          </w:p>
          <w:p w14:paraId="2C9B8E9D" w14:textId="77777777" w:rsidR="00966204" w:rsidRPr="00A933D7" w:rsidRDefault="00966204" w:rsidP="00453E6C">
            <w:pPr>
              <w:autoSpaceDE w:val="0"/>
              <w:autoSpaceDN w:val="0"/>
              <w:adjustRightInd w:val="0"/>
              <w:rPr>
                <w:rFonts w:asciiTheme="minorHAnsi" w:hAnsiTheme="minorHAnsi" w:cstheme="minorHAnsi"/>
              </w:rPr>
            </w:pPr>
          </w:p>
          <w:p w14:paraId="66BAD89A" w14:textId="77777777" w:rsidR="00453E6C" w:rsidRPr="00CD3A3F" w:rsidRDefault="00453E6C" w:rsidP="00453E6C">
            <w:pPr>
              <w:autoSpaceDE w:val="0"/>
              <w:autoSpaceDN w:val="0"/>
              <w:adjustRightInd w:val="0"/>
              <w:rPr>
                <w:rFonts w:asciiTheme="minorHAnsi" w:hAnsiTheme="minorHAnsi" w:cstheme="minorHAnsi"/>
                <w:color w:val="000000"/>
                <w:sz w:val="19"/>
                <w:szCs w:val="19"/>
              </w:rPr>
            </w:pPr>
            <w:r w:rsidRPr="00CD3A3F">
              <w:rPr>
                <w:rFonts w:asciiTheme="minorHAnsi" w:hAnsiTheme="minorHAnsi" w:cstheme="minorHAnsi"/>
                <w:color w:val="000000"/>
                <w:sz w:val="19"/>
                <w:szCs w:val="19"/>
              </w:rPr>
              <w:t>The CT Contrast Administration Checklist is to be placed in the paper file and/or scanned into the relevant health record at completion of the examination. The paper file can act as a contingency when networks are down.</w:t>
            </w:r>
          </w:p>
          <w:p w14:paraId="2914754C" w14:textId="77777777" w:rsidR="00453E6C" w:rsidRPr="00A933D7" w:rsidRDefault="00453E6C" w:rsidP="00453E6C">
            <w:pPr>
              <w:autoSpaceDE w:val="0"/>
              <w:autoSpaceDN w:val="0"/>
              <w:adjustRightInd w:val="0"/>
              <w:rPr>
                <w:rFonts w:asciiTheme="minorHAnsi" w:hAnsiTheme="minorHAnsi" w:cstheme="minorHAnsi"/>
                <w:color w:val="000000"/>
                <w:sz w:val="20"/>
                <w:szCs w:val="20"/>
              </w:rPr>
            </w:pPr>
          </w:p>
          <w:p w14:paraId="10E4A6ED" w14:textId="77777777" w:rsidR="00453E6C" w:rsidRPr="00CD3A3F" w:rsidRDefault="00453E6C" w:rsidP="00453E6C">
            <w:pPr>
              <w:autoSpaceDE w:val="0"/>
              <w:autoSpaceDN w:val="0"/>
              <w:adjustRightInd w:val="0"/>
              <w:rPr>
                <w:rFonts w:asciiTheme="minorHAnsi" w:hAnsiTheme="minorHAnsi" w:cstheme="minorHAnsi"/>
                <w:color w:val="000000"/>
                <w:sz w:val="19"/>
                <w:szCs w:val="19"/>
              </w:rPr>
            </w:pPr>
            <w:r w:rsidRPr="00CD3A3F">
              <w:rPr>
                <w:rFonts w:asciiTheme="minorHAnsi" w:hAnsiTheme="minorHAnsi" w:cstheme="minorHAnsi"/>
                <w:color w:val="000000"/>
                <w:sz w:val="19"/>
                <w:szCs w:val="19"/>
              </w:rPr>
              <w:lastRenderedPageBreak/>
              <w:t xml:space="preserve">Any adverse events must be: </w:t>
            </w:r>
          </w:p>
          <w:p w14:paraId="2EE47C0F" w14:textId="77777777" w:rsidR="00453E6C" w:rsidRPr="00CD3A3F" w:rsidRDefault="00453E6C" w:rsidP="00453E6C">
            <w:pPr>
              <w:pStyle w:val="ListParagraph"/>
              <w:numPr>
                <w:ilvl w:val="0"/>
                <w:numId w:val="31"/>
              </w:numPr>
              <w:autoSpaceDE w:val="0"/>
              <w:autoSpaceDN w:val="0"/>
              <w:adjustRightInd w:val="0"/>
              <w:rPr>
                <w:rFonts w:cstheme="minorHAnsi"/>
                <w:color w:val="000000"/>
                <w:sz w:val="19"/>
                <w:szCs w:val="19"/>
              </w:rPr>
            </w:pPr>
            <w:r w:rsidRPr="00CD3A3F">
              <w:rPr>
                <w:rFonts w:cstheme="minorHAnsi"/>
                <w:color w:val="000000"/>
                <w:sz w:val="19"/>
                <w:szCs w:val="19"/>
              </w:rPr>
              <w:t>notified to the prescriber</w:t>
            </w:r>
          </w:p>
          <w:p w14:paraId="0E781A80" w14:textId="77777777" w:rsidR="00453E6C" w:rsidRPr="00CD3A3F" w:rsidRDefault="00453E6C" w:rsidP="00453E6C">
            <w:pPr>
              <w:pStyle w:val="ListParagraph"/>
              <w:numPr>
                <w:ilvl w:val="0"/>
                <w:numId w:val="31"/>
              </w:numPr>
              <w:autoSpaceDE w:val="0"/>
              <w:autoSpaceDN w:val="0"/>
              <w:adjustRightInd w:val="0"/>
              <w:rPr>
                <w:rFonts w:cstheme="minorHAnsi"/>
                <w:color w:val="000000"/>
                <w:sz w:val="19"/>
                <w:szCs w:val="19"/>
              </w:rPr>
            </w:pPr>
            <w:r w:rsidRPr="00CD3A3F">
              <w:rPr>
                <w:rFonts w:cstheme="minorHAnsi"/>
                <w:color w:val="000000"/>
                <w:sz w:val="19"/>
                <w:szCs w:val="19"/>
              </w:rPr>
              <w:t>being documented in the alerts in the clinical information system</w:t>
            </w:r>
          </w:p>
          <w:p w14:paraId="309D6C2E" w14:textId="77777777" w:rsidR="00453E6C" w:rsidRPr="00CD3A3F" w:rsidRDefault="00453E6C" w:rsidP="00453E6C">
            <w:pPr>
              <w:pStyle w:val="ListParagraph"/>
              <w:numPr>
                <w:ilvl w:val="0"/>
                <w:numId w:val="31"/>
              </w:numPr>
              <w:autoSpaceDE w:val="0"/>
              <w:autoSpaceDN w:val="0"/>
              <w:adjustRightInd w:val="0"/>
              <w:rPr>
                <w:rFonts w:cstheme="minorHAnsi"/>
                <w:color w:val="000000"/>
                <w:sz w:val="19"/>
                <w:szCs w:val="19"/>
              </w:rPr>
            </w:pPr>
            <w:r w:rsidRPr="00CD3A3F">
              <w:rPr>
                <w:rFonts w:cstheme="minorHAnsi"/>
                <w:color w:val="000000"/>
                <w:sz w:val="19"/>
                <w:szCs w:val="19"/>
              </w:rPr>
              <w:t xml:space="preserve">documented in the radiology report and/or patient healthcare record </w:t>
            </w:r>
          </w:p>
          <w:p w14:paraId="224BE5B9" w14:textId="77777777" w:rsidR="00453E6C" w:rsidRPr="00CD3A3F" w:rsidRDefault="00453E6C" w:rsidP="00453E6C">
            <w:pPr>
              <w:pStyle w:val="ListParagraph"/>
              <w:numPr>
                <w:ilvl w:val="0"/>
                <w:numId w:val="31"/>
              </w:numPr>
              <w:autoSpaceDE w:val="0"/>
              <w:autoSpaceDN w:val="0"/>
              <w:adjustRightInd w:val="0"/>
              <w:rPr>
                <w:rFonts w:cstheme="minorHAnsi"/>
                <w:color w:val="000000"/>
                <w:sz w:val="19"/>
                <w:szCs w:val="19"/>
              </w:rPr>
            </w:pPr>
            <w:r w:rsidRPr="00CD3A3F">
              <w:rPr>
                <w:rFonts w:cstheme="minorHAnsi"/>
                <w:color w:val="000000"/>
                <w:sz w:val="19"/>
                <w:szCs w:val="19"/>
              </w:rPr>
              <w:t xml:space="preserve">entered into IIMS as a clinical incident with principal incident type – medication </w:t>
            </w:r>
          </w:p>
          <w:p w14:paraId="54B8A8D9" w14:textId="77777777" w:rsidR="00453E6C" w:rsidRPr="00CD3A3F" w:rsidRDefault="00453E6C" w:rsidP="00453E6C">
            <w:pPr>
              <w:pStyle w:val="ListParagraph"/>
              <w:numPr>
                <w:ilvl w:val="0"/>
                <w:numId w:val="31"/>
              </w:numPr>
              <w:autoSpaceDE w:val="0"/>
              <w:autoSpaceDN w:val="0"/>
              <w:adjustRightInd w:val="0"/>
              <w:rPr>
                <w:rFonts w:cstheme="minorHAnsi"/>
                <w:color w:val="000000"/>
                <w:sz w:val="19"/>
                <w:szCs w:val="19"/>
              </w:rPr>
            </w:pPr>
            <w:r w:rsidRPr="00CD3A3F">
              <w:rPr>
                <w:rFonts w:cstheme="minorHAnsi"/>
                <w:color w:val="000000"/>
                <w:sz w:val="19"/>
                <w:szCs w:val="19"/>
              </w:rPr>
              <w:t xml:space="preserve">reported to the TGA by completing a ‘'Blue Card'’ (Adverse Drug Reactions Advisory Committee) and providing a copy to Pharmacy </w:t>
            </w:r>
          </w:p>
          <w:p w14:paraId="4B3260FA" w14:textId="77777777" w:rsidR="00453E6C" w:rsidRPr="00CD3A3F" w:rsidRDefault="00453E6C" w:rsidP="00453E6C">
            <w:pPr>
              <w:pStyle w:val="ListParagraph"/>
              <w:numPr>
                <w:ilvl w:val="0"/>
                <w:numId w:val="31"/>
              </w:numPr>
              <w:autoSpaceDE w:val="0"/>
              <w:autoSpaceDN w:val="0"/>
              <w:adjustRightInd w:val="0"/>
              <w:rPr>
                <w:rFonts w:cstheme="minorHAnsi"/>
                <w:color w:val="000000"/>
                <w:sz w:val="19"/>
                <w:szCs w:val="19"/>
              </w:rPr>
            </w:pPr>
            <w:r w:rsidRPr="00CD3A3F">
              <w:rPr>
                <w:rFonts w:cstheme="minorHAnsi"/>
                <w:color w:val="000000"/>
                <w:sz w:val="19"/>
                <w:szCs w:val="19"/>
              </w:rPr>
              <w:t>reported to the pharmaceutical company.</w:t>
            </w:r>
          </w:p>
          <w:p w14:paraId="66BF2FFC" w14:textId="77777777" w:rsidR="00453E6C" w:rsidRPr="00CD3A3F" w:rsidRDefault="00453E6C" w:rsidP="00453E6C">
            <w:pPr>
              <w:pStyle w:val="ListParagraph"/>
              <w:autoSpaceDE w:val="0"/>
              <w:autoSpaceDN w:val="0"/>
              <w:adjustRightInd w:val="0"/>
              <w:ind w:left="1080"/>
              <w:rPr>
                <w:rFonts w:cstheme="minorHAnsi"/>
                <w:color w:val="000000"/>
                <w:sz w:val="19"/>
                <w:szCs w:val="19"/>
              </w:rPr>
            </w:pPr>
          </w:p>
          <w:p w14:paraId="4FA0B63B" w14:textId="77777777" w:rsidR="00032543" w:rsidRPr="00A42D39" w:rsidRDefault="00453E6C" w:rsidP="00A42D39">
            <w:pPr>
              <w:autoSpaceDE w:val="0"/>
              <w:autoSpaceDN w:val="0"/>
              <w:adjustRightInd w:val="0"/>
              <w:rPr>
                <w:rStyle w:val="A1"/>
                <w:rFonts w:asciiTheme="minorHAnsi" w:hAnsiTheme="minorHAnsi" w:cstheme="minorHAnsi"/>
                <w:i w:val="0"/>
                <w:iCs w:val="0"/>
                <w:sz w:val="19"/>
                <w:szCs w:val="19"/>
              </w:rPr>
            </w:pPr>
            <w:r w:rsidRPr="00CD3A3F">
              <w:rPr>
                <w:rFonts w:asciiTheme="minorHAnsi" w:hAnsiTheme="minorHAnsi" w:cstheme="minorHAnsi"/>
                <w:color w:val="000000"/>
                <w:sz w:val="19"/>
                <w:szCs w:val="19"/>
              </w:rPr>
              <w:t>A letter should be provided to the GP/referrer including the radiologist report and any adverse reactions.</w:t>
            </w:r>
          </w:p>
        </w:tc>
      </w:tr>
      <w:tr w:rsidR="00032543" w14:paraId="545DC34E" w14:textId="77777777" w:rsidTr="00A42D39">
        <w:tc>
          <w:tcPr>
            <w:tcW w:w="1725" w:type="dxa"/>
          </w:tcPr>
          <w:p w14:paraId="1F896514" w14:textId="77777777" w:rsidR="00032543" w:rsidRPr="00EA3785" w:rsidRDefault="00453E6C" w:rsidP="00032543">
            <w:pPr>
              <w:rPr>
                <w:rFonts w:asciiTheme="minorHAnsi" w:hAnsiTheme="minorHAnsi" w:cstheme="minorHAnsi"/>
                <w:b/>
                <w:i/>
                <w:sz w:val="19"/>
                <w:szCs w:val="19"/>
              </w:rPr>
            </w:pPr>
            <w:r>
              <w:rPr>
                <w:rFonts w:asciiTheme="minorHAnsi" w:hAnsiTheme="minorHAnsi" w:cstheme="minorHAnsi"/>
                <w:b/>
                <w:sz w:val="19"/>
                <w:szCs w:val="19"/>
              </w:rPr>
              <w:lastRenderedPageBreak/>
              <w:t>Standing order review</w:t>
            </w:r>
          </w:p>
        </w:tc>
        <w:tc>
          <w:tcPr>
            <w:tcW w:w="8512" w:type="dxa"/>
          </w:tcPr>
          <w:p w14:paraId="74F77559" w14:textId="77777777" w:rsidR="00453E6C" w:rsidRPr="00A42D39" w:rsidRDefault="00453E6C" w:rsidP="00A42D39">
            <w:pPr>
              <w:pStyle w:val="Pa0"/>
              <w:rPr>
                <w:rFonts w:asciiTheme="minorHAnsi" w:hAnsiTheme="minorHAnsi" w:cstheme="minorHAnsi"/>
                <w:sz w:val="19"/>
                <w:szCs w:val="19"/>
              </w:rPr>
            </w:pPr>
            <w:r w:rsidRPr="00EA3785">
              <w:rPr>
                <w:rFonts w:asciiTheme="minorHAnsi" w:hAnsiTheme="minorHAnsi" w:cstheme="minorHAnsi"/>
                <w:color w:val="000000"/>
                <w:sz w:val="19"/>
                <w:szCs w:val="19"/>
              </w:rPr>
              <w:t>T</w:t>
            </w:r>
            <w:r w:rsidRPr="00EA3785">
              <w:rPr>
                <w:rFonts w:asciiTheme="minorHAnsi" w:hAnsiTheme="minorHAnsi" w:cstheme="minorHAnsi"/>
                <w:sz w:val="19"/>
                <w:szCs w:val="19"/>
              </w:rPr>
              <w:t xml:space="preserve">he information in the standing order must be dated and </w:t>
            </w:r>
            <w:r w:rsidRPr="00453E6C">
              <w:rPr>
                <w:rFonts w:asciiTheme="minorHAnsi" w:hAnsiTheme="minorHAnsi" w:cstheme="minorHAnsi"/>
                <w:sz w:val="19"/>
                <w:szCs w:val="19"/>
              </w:rPr>
              <w:t>reviewed annually to ensure currency.</w:t>
            </w:r>
          </w:p>
        </w:tc>
      </w:tr>
    </w:tbl>
    <w:p w14:paraId="2C1A5770" w14:textId="77777777" w:rsidR="004B06A9" w:rsidRDefault="004B06A9"/>
    <w:tbl>
      <w:tblPr>
        <w:tblStyle w:val="TableGrid"/>
        <w:tblW w:w="10237" w:type="dxa"/>
        <w:tblInd w:w="-147" w:type="dxa"/>
        <w:tblCellMar>
          <w:top w:w="108" w:type="dxa"/>
          <w:bottom w:w="108" w:type="dxa"/>
        </w:tblCellMar>
        <w:tblLook w:val="04A0" w:firstRow="1" w:lastRow="0" w:firstColumn="1" w:lastColumn="0" w:noHBand="0" w:noVBand="1"/>
      </w:tblPr>
      <w:tblGrid>
        <w:gridCol w:w="1725"/>
        <w:gridCol w:w="8512"/>
      </w:tblGrid>
      <w:tr w:rsidR="00453E6C" w14:paraId="5D088B90" w14:textId="77777777" w:rsidTr="00A42D39">
        <w:tc>
          <w:tcPr>
            <w:tcW w:w="1725" w:type="dxa"/>
          </w:tcPr>
          <w:p w14:paraId="09991DD6" w14:textId="77777777" w:rsidR="00453E6C" w:rsidRPr="00CD3A3F" w:rsidRDefault="00453E6C" w:rsidP="00F8662F">
            <w:pPr>
              <w:rPr>
                <w:rFonts w:asciiTheme="minorHAnsi" w:hAnsiTheme="minorHAnsi" w:cstheme="minorHAnsi"/>
                <w:b/>
                <w:sz w:val="19"/>
                <w:szCs w:val="19"/>
              </w:rPr>
            </w:pPr>
            <w:r w:rsidRPr="00CD3A3F">
              <w:rPr>
                <w:rFonts w:asciiTheme="minorHAnsi" w:hAnsiTheme="minorHAnsi" w:cstheme="minorHAnsi"/>
                <w:b/>
                <w:sz w:val="19"/>
                <w:szCs w:val="19"/>
              </w:rPr>
              <w:t xml:space="preserve">References </w:t>
            </w:r>
            <w:r w:rsidR="00044D37" w:rsidRPr="00CD3A3F">
              <w:rPr>
                <w:rFonts w:asciiTheme="minorHAnsi" w:hAnsiTheme="minorHAnsi" w:cstheme="minorHAnsi"/>
                <w:b/>
                <w:sz w:val="19"/>
                <w:szCs w:val="19"/>
              </w:rPr>
              <w:t xml:space="preserve">and </w:t>
            </w:r>
            <w:r w:rsidR="00F8662F">
              <w:rPr>
                <w:rFonts w:asciiTheme="minorHAnsi" w:hAnsiTheme="minorHAnsi" w:cstheme="minorHAnsi"/>
                <w:b/>
                <w:sz w:val="19"/>
                <w:szCs w:val="19"/>
              </w:rPr>
              <w:t>Bibliography</w:t>
            </w:r>
          </w:p>
        </w:tc>
        <w:tc>
          <w:tcPr>
            <w:tcW w:w="8512" w:type="dxa"/>
          </w:tcPr>
          <w:p w14:paraId="521A4C6B" w14:textId="77777777" w:rsidR="00F8662F" w:rsidRPr="00BC510D" w:rsidRDefault="00F8662F" w:rsidP="00F8662F">
            <w:pPr>
              <w:autoSpaceDE w:val="0"/>
              <w:autoSpaceDN w:val="0"/>
              <w:adjustRightInd w:val="0"/>
              <w:rPr>
                <w:rFonts w:cstheme="minorHAnsi"/>
                <w:b/>
                <w:color w:val="000000"/>
                <w:sz w:val="20"/>
                <w:szCs w:val="20"/>
              </w:rPr>
            </w:pPr>
            <w:r w:rsidRPr="00BC510D">
              <w:rPr>
                <w:rFonts w:cstheme="minorHAnsi"/>
                <w:b/>
                <w:color w:val="000000"/>
                <w:sz w:val="20"/>
                <w:szCs w:val="20"/>
              </w:rPr>
              <w:t>References</w:t>
            </w:r>
          </w:p>
          <w:p w14:paraId="55696177" w14:textId="77777777" w:rsidR="00F8662F" w:rsidRDefault="00F8662F" w:rsidP="00F8662F">
            <w:pPr>
              <w:pStyle w:val="ListParagraph"/>
              <w:numPr>
                <w:ilvl w:val="0"/>
                <w:numId w:val="35"/>
              </w:numPr>
              <w:autoSpaceDE w:val="0"/>
              <w:autoSpaceDN w:val="0"/>
              <w:adjustRightInd w:val="0"/>
              <w:rPr>
                <w:rFonts w:cstheme="minorHAnsi"/>
                <w:b/>
                <w:bCs/>
                <w:color w:val="000000"/>
                <w:sz w:val="19"/>
                <w:szCs w:val="19"/>
              </w:rPr>
            </w:pPr>
            <w:r w:rsidRPr="00EA3785">
              <w:rPr>
                <w:rFonts w:cstheme="minorHAnsi"/>
                <w:color w:val="000000"/>
                <w:sz w:val="19"/>
                <w:szCs w:val="19"/>
              </w:rPr>
              <w:t xml:space="preserve">PD2013_043 </w:t>
            </w:r>
            <w:r w:rsidRPr="0030356C">
              <w:rPr>
                <w:rFonts w:cstheme="minorHAnsi"/>
                <w:bCs/>
                <w:color w:val="000000"/>
                <w:sz w:val="19"/>
                <w:szCs w:val="19"/>
              </w:rPr>
              <w:t>Medication Handling in NSW Public Health Facilities (under review</w:t>
            </w:r>
            <w:r w:rsidRPr="00EA3785">
              <w:rPr>
                <w:rFonts w:cstheme="minorHAnsi"/>
                <w:b/>
                <w:bCs/>
                <w:color w:val="000000"/>
                <w:sz w:val="19"/>
                <w:szCs w:val="19"/>
              </w:rPr>
              <w:t>)</w:t>
            </w:r>
          </w:p>
          <w:p w14:paraId="46CCFDD4" w14:textId="77777777" w:rsidR="00F8662F" w:rsidRPr="006C7923" w:rsidRDefault="00F8662F" w:rsidP="00F8662F">
            <w:pPr>
              <w:autoSpaceDE w:val="0"/>
              <w:autoSpaceDN w:val="0"/>
              <w:adjustRightInd w:val="0"/>
              <w:rPr>
                <w:rFonts w:cstheme="minorHAnsi"/>
                <w:b/>
                <w:bCs/>
                <w:color w:val="000000"/>
                <w:sz w:val="19"/>
                <w:szCs w:val="19"/>
              </w:rPr>
            </w:pPr>
          </w:p>
          <w:p w14:paraId="41328190" w14:textId="77777777" w:rsidR="00932B8E" w:rsidRPr="00932B8E" w:rsidRDefault="00932B8E" w:rsidP="00B7062D">
            <w:pPr>
              <w:pStyle w:val="ListParagraph"/>
              <w:numPr>
                <w:ilvl w:val="0"/>
                <w:numId w:val="35"/>
              </w:numPr>
              <w:spacing w:after="200"/>
              <w:rPr>
                <w:rFonts w:cstheme="minorHAnsi"/>
                <w:i/>
                <w:sz w:val="19"/>
                <w:szCs w:val="19"/>
              </w:rPr>
            </w:pPr>
            <w:r w:rsidRPr="00932B8E">
              <w:rPr>
                <w:rFonts w:ascii="Helvetica" w:hAnsi="Helvetica"/>
                <w:sz w:val="19"/>
                <w:szCs w:val="19"/>
                <w:shd w:val="clear" w:color="auto" w:fill="FFFFFF"/>
              </w:rPr>
              <w:t>A</w:t>
            </w:r>
            <w:r>
              <w:rPr>
                <w:rFonts w:ascii="Helvetica" w:hAnsi="Helvetica"/>
                <w:sz w:val="19"/>
                <w:szCs w:val="19"/>
                <w:shd w:val="clear" w:color="auto" w:fill="FFFFFF"/>
              </w:rPr>
              <w:t>merican College of Radiology,</w:t>
            </w:r>
            <w:r w:rsidR="007737DF">
              <w:rPr>
                <w:rFonts w:ascii="Helvetica" w:hAnsi="Helvetica"/>
                <w:sz w:val="19"/>
                <w:szCs w:val="19"/>
                <w:shd w:val="clear" w:color="auto" w:fill="FFFFFF"/>
              </w:rPr>
              <w:t xml:space="preserve"> </w:t>
            </w:r>
            <w:r>
              <w:rPr>
                <w:rFonts w:ascii="Helvetica" w:hAnsi="Helvetica"/>
                <w:sz w:val="19"/>
                <w:szCs w:val="19"/>
                <w:shd w:val="clear" w:color="auto" w:fill="FFFFFF"/>
              </w:rPr>
              <w:t>A</w:t>
            </w:r>
            <w:r w:rsidRPr="00932B8E">
              <w:rPr>
                <w:rFonts w:ascii="Helvetica" w:hAnsi="Helvetica"/>
                <w:sz w:val="19"/>
                <w:szCs w:val="19"/>
                <w:shd w:val="clear" w:color="auto" w:fill="FFFFFF"/>
              </w:rPr>
              <w:t>CR,</w:t>
            </w:r>
            <w:r w:rsidRPr="00932B8E">
              <w:rPr>
                <w:b/>
                <w:i/>
                <w:sz w:val="16"/>
                <w:szCs w:val="19"/>
              </w:rPr>
              <w:t xml:space="preserve"> </w:t>
            </w:r>
            <w:r w:rsidRPr="00A030AB">
              <w:rPr>
                <w:i/>
                <w:sz w:val="19"/>
                <w:szCs w:val="19"/>
              </w:rPr>
              <w:t>Manual on Contrast Media</w:t>
            </w:r>
            <w:r w:rsidRPr="00932B8E">
              <w:rPr>
                <w:rFonts w:ascii="Helvetica" w:hAnsi="Helvetica"/>
                <w:sz w:val="19"/>
                <w:szCs w:val="19"/>
                <w:shd w:val="clear" w:color="auto" w:fill="FFFFFF"/>
              </w:rPr>
              <w:t xml:space="preserve"> 2018</w:t>
            </w:r>
          </w:p>
          <w:p w14:paraId="49A13918" w14:textId="77777777" w:rsidR="00932B8E" w:rsidRPr="00932B8E" w:rsidRDefault="00932B8E" w:rsidP="00932B8E">
            <w:pPr>
              <w:pStyle w:val="ListParagraph"/>
              <w:rPr>
                <w:rFonts w:cstheme="minorHAnsi"/>
                <w:sz w:val="19"/>
                <w:szCs w:val="19"/>
                <w:lang w:val="en-GB"/>
              </w:rPr>
            </w:pPr>
          </w:p>
          <w:p w14:paraId="49182802" w14:textId="77777777" w:rsidR="00F8662F" w:rsidRPr="00A42D39" w:rsidRDefault="00F8662F" w:rsidP="00F8662F">
            <w:pPr>
              <w:pStyle w:val="ListParagraph"/>
              <w:numPr>
                <w:ilvl w:val="0"/>
                <w:numId w:val="35"/>
              </w:numPr>
              <w:spacing w:after="200"/>
              <w:rPr>
                <w:rFonts w:cstheme="minorHAnsi"/>
                <w:i/>
                <w:sz w:val="19"/>
                <w:szCs w:val="19"/>
              </w:rPr>
            </w:pPr>
            <w:r w:rsidRPr="00932B8E">
              <w:rPr>
                <w:rFonts w:cstheme="minorHAnsi"/>
                <w:sz w:val="19"/>
                <w:szCs w:val="19"/>
                <w:lang w:val="en-GB"/>
              </w:rPr>
              <w:t xml:space="preserve">Iodinated Contrast Media Guideline. (2018) </w:t>
            </w:r>
            <w:r w:rsidRPr="00932B8E">
              <w:rPr>
                <w:rFonts w:cstheme="minorHAnsi"/>
                <w:i/>
                <w:sz w:val="19"/>
                <w:szCs w:val="19"/>
                <w:lang w:val="en-GB"/>
              </w:rPr>
              <w:t>The Royal Australian and New Zealand College of Radiologists, Faculty of Clinical Radiology</w:t>
            </w:r>
          </w:p>
          <w:p w14:paraId="3EC3A9D8" w14:textId="77777777" w:rsidR="00A42D39" w:rsidRPr="00A42D39" w:rsidRDefault="00A42D39" w:rsidP="00A42D39">
            <w:pPr>
              <w:pStyle w:val="ListParagraph"/>
              <w:rPr>
                <w:rFonts w:cstheme="minorHAnsi"/>
                <w:i/>
                <w:sz w:val="19"/>
                <w:szCs w:val="19"/>
              </w:rPr>
            </w:pPr>
          </w:p>
          <w:p w14:paraId="7357AA7E" w14:textId="77777777" w:rsidR="00F8662F" w:rsidRPr="006C7923" w:rsidRDefault="00F8662F" w:rsidP="00F8662F">
            <w:pPr>
              <w:pStyle w:val="ListParagraph"/>
              <w:numPr>
                <w:ilvl w:val="0"/>
                <w:numId w:val="35"/>
              </w:numPr>
              <w:spacing w:after="200"/>
              <w:rPr>
                <w:rStyle w:val="Hyperlink"/>
                <w:rFonts w:cstheme="minorHAnsi"/>
                <w:i/>
                <w:color w:val="auto"/>
                <w:sz w:val="19"/>
                <w:szCs w:val="19"/>
              </w:rPr>
            </w:pPr>
            <w:r w:rsidRPr="006C7923">
              <w:rPr>
                <w:rFonts w:cstheme="minorHAnsi"/>
                <w:sz w:val="19"/>
                <w:szCs w:val="19"/>
              </w:rPr>
              <w:t>Minimising Medication related Complications in Patients Receiving Intravascular Iodinated Contra</w:t>
            </w:r>
            <w:r>
              <w:rPr>
                <w:rFonts w:cstheme="minorHAnsi"/>
                <w:sz w:val="19"/>
                <w:szCs w:val="19"/>
              </w:rPr>
              <w:t xml:space="preserve">st (2018) </w:t>
            </w:r>
            <w:r w:rsidRPr="00B261F5">
              <w:rPr>
                <w:rFonts w:cstheme="minorHAnsi"/>
                <w:i/>
                <w:sz w:val="19"/>
                <w:szCs w:val="19"/>
              </w:rPr>
              <w:t>NSW Therapeutic Advisory Group (TAG).</w:t>
            </w:r>
            <w:r w:rsidRPr="006C7923">
              <w:rPr>
                <w:rFonts w:cstheme="minorHAnsi"/>
                <w:sz w:val="19"/>
                <w:szCs w:val="19"/>
              </w:rPr>
              <w:t xml:space="preserve"> </w:t>
            </w:r>
            <w:hyperlink r:id="rId13" w:history="1">
              <w:r w:rsidRPr="00FC5CEC">
                <w:rPr>
                  <w:rStyle w:val="Hyperlink"/>
                  <w:rFonts w:cstheme="minorHAnsi"/>
                  <w:sz w:val="19"/>
                  <w:szCs w:val="19"/>
                </w:rPr>
                <w:t>http://www.nswtag.org.au/practical-guidance/</w:t>
              </w:r>
            </w:hyperlink>
          </w:p>
          <w:p w14:paraId="05349A9D" w14:textId="77777777" w:rsidR="00F8662F" w:rsidRPr="006C7923" w:rsidRDefault="00F8662F" w:rsidP="00F8662F">
            <w:pPr>
              <w:pStyle w:val="ListParagraph"/>
              <w:rPr>
                <w:rStyle w:val="Hyperlink"/>
                <w:rFonts w:cstheme="minorHAnsi"/>
                <w:color w:val="auto"/>
                <w:sz w:val="19"/>
                <w:szCs w:val="19"/>
              </w:rPr>
            </w:pPr>
          </w:p>
          <w:p w14:paraId="4E1C2FCF" w14:textId="77777777" w:rsidR="00F8662F" w:rsidRPr="006C7923" w:rsidRDefault="00F8662F" w:rsidP="00F8662F">
            <w:pPr>
              <w:pStyle w:val="ListParagraph"/>
              <w:numPr>
                <w:ilvl w:val="0"/>
                <w:numId w:val="35"/>
              </w:numPr>
              <w:rPr>
                <w:rStyle w:val="HTMLCite"/>
                <w:rFonts w:cstheme="minorHAnsi"/>
                <w:i w:val="0"/>
                <w:iCs w:val="0"/>
                <w:sz w:val="19"/>
                <w:szCs w:val="19"/>
              </w:rPr>
            </w:pPr>
            <w:r w:rsidRPr="00EA3785">
              <w:rPr>
                <w:rFonts w:cstheme="minorHAnsi"/>
                <w:i/>
                <w:sz w:val="19"/>
                <w:szCs w:val="19"/>
              </w:rPr>
              <w:t xml:space="preserve">GE Product information online: </w:t>
            </w:r>
            <w:r w:rsidRPr="00B261F5">
              <w:rPr>
                <w:rFonts w:cstheme="minorHAnsi"/>
                <w:sz w:val="19"/>
                <w:szCs w:val="19"/>
              </w:rPr>
              <w:t>P</w:t>
            </w:r>
            <w:r w:rsidRPr="00EA3785">
              <w:rPr>
                <w:rFonts w:cstheme="minorHAnsi"/>
                <w:sz w:val="19"/>
                <w:szCs w:val="19"/>
              </w:rPr>
              <w:t xml:space="preserve">recautions and Adverse effects </w:t>
            </w:r>
            <w:r w:rsidRPr="006C7923">
              <w:rPr>
                <w:rStyle w:val="HTMLCite"/>
                <w:rFonts w:cstheme="minorHAnsi"/>
                <w:sz w:val="19"/>
                <w:szCs w:val="19"/>
              </w:rPr>
              <w:t>OMNIPAQUE™ (</w:t>
            </w:r>
            <w:proofErr w:type="spellStart"/>
            <w:r w:rsidRPr="006C7923">
              <w:rPr>
                <w:rStyle w:val="HTMLCite"/>
                <w:rFonts w:cstheme="minorHAnsi"/>
                <w:sz w:val="19"/>
                <w:szCs w:val="19"/>
              </w:rPr>
              <w:t>iohexol</w:t>
            </w:r>
            <w:proofErr w:type="spellEnd"/>
            <w:r w:rsidRPr="006C7923">
              <w:rPr>
                <w:rStyle w:val="HTMLCite"/>
                <w:rFonts w:cstheme="minorHAnsi"/>
                <w:sz w:val="19"/>
                <w:szCs w:val="19"/>
              </w:rPr>
              <w:t>) Product Information.</w:t>
            </w:r>
            <w:r w:rsidR="00A42D39">
              <w:rPr>
                <w:rStyle w:val="HTMLCite"/>
                <w:rFonts w:cstheme="minorHAnsi"/>
                <w:sz w:val="19"/>
                <w:szCs w:val="19"/>
              </w:rPr>
              <w:t xml:space="preserve"> </w:t>
            </w:r>
            <w:r>
              <w:rPr>
                <w:rStyle w:val="HTMLCite"/>
                <w:rFonts w:cstheme="minorHAnsi"/>
                <w:sz w:val="19"/>
                <w:szCs w:val="19"/>
              </w:rPr>
              <w:t>(2018)</w:t>
            </w:r>
            <w:r w:rsidRPr="006C7923">
              <w:rPr>
                <w:rStyle w:val="HTMLCite"/>
                <w:rFonts w:cstheme="minorHAnsi"/>
                <w:sz w:val="19"/>
                <w:szCs w:val="19"/>
              </w:rPr>
              <w:t xml:space="preserve"> </w:t>
            </w:r>
          </w:p>
          <w:p w14:paraId="2A62E993" w14:textId="77777777" w:rsidR="00F8662F" w:rsidRDefault="00000000" w:rsidP="00F8662F">
            <w:pPr>
              <w:ind w:left="720"/>
              <w:rPr>
                <w:rFonts w:asciiTheme="minorHAnsi" w:hAnsiTheme="minorHAnsi" w:cstheme="minorHAnsi"/>
                <w:sz w:val="19"/>
                <w:szCs w:val="19"/>
              </w:rPr>
            </w:pPr>
            <w:hyperlink r:id="rId14" w:history="1">
              <w:r w:rsidR="00F8662F" w:rsidRPr="00EA3785">
                <w:rPr>
                  <w:rStyle w:val="Hyperlink"/>
                  <w:rFonts w:asciiTheme="minorHAnsi" w:hAnsiTheme="minorHAnsi" w:cstheme="minorHAnsi"/>
                  <w:i/>
                  <w:sz w:val="19"/>
                  <w:szCs w:val="19"/>
                </w:rPr>
                <w:t>http://www3.gehealthcare.com/~/media/documents/us-global/products/contrast-media_non-gatekeeper/clinical-product-information/omnipaque/gehealthcare_omnipaque-bulk-pack-prescribing-information_032012.pdf?Parent=%7B21C1FA0B-7909-4C09-90C6-0FD83A4D7E61%7D</w:t>
              </w:r>
            </w:hyperlink>
            <w:r w:rsidR="00F8662F" w:rsidRPr="00EA3785">
              <w:rPr>
                <w:rFonts w:asciiTheme="minorHAnsi" w:hAnsiTheme="minorHAnsi" w:cstheme="minorHAnsi"/>
                <w:i/>
                <w:sz w:val="19"/>
                <w:szCs w:val="19"/>
              </w:rPr>
              <w:t xml:space="preserve">  </w:t>
            </w:r>
          </w:p>
          <w:p w14:paraId="2FA769EB" w14:textId="77777777" w:rsidR="00F8662F" w:rsidRPr="006C7923" w:rsidRDefault="00F8662F" w:rsidP="00F8662F">
            <w:pPr>
              <w:ind w:left="360"/>
              <w:rPr>
                <w:rFonts w:asciiTheme="minorHAnsi" w:hAnsiTheme="minorHAnsi" w:cstheme="minorHAnsi"/>
                <w:sz w:val="19"/>
                <w:szCs w:val="19"/>
              </w:rPr>
            </w:pPr>
          </w:p>
          <w:p w14:paraId="44973B15" w14:textId="77777777" w:rsidR="00F8662F" w:rsidRPr="004352CC" w:rsidRDefault="00F8662F" w:rsidP="00F8662F">
            <w:pPr>
              <w:pStyle w:val="ListParagraph"/>
              <w:numPr>
                <w:ilvl w:val="0"/>
                <w:numId w:val="35"/>
              </w:numPr>
              <w:autoSpaceDE w:val="0"/>
              <w:autoSpaceDN w:val="0"/>
              <w:adjustRightInd w:val="0"/>
              <w:spacing w:after="200"/>
              <w:rPr>
                <w:sz w:val="19"/>
                <w:szCs w:val="19"/>
              </w:rPr>
            </w:pPr>
            <w:r w:rsidRPr="004352CC">
              <w:rPr>
                <w:rFonts w:cs="Arial"/>
                <w:bCs/>
                <w:sz w:val="19"/>
                <w:szCs w:val="19"/>
              </w:rPr>
              <w:t>NICE</w:t>
            </w:r>
            <w:r w:rsidRPr="004352CC">
              <w:rPr>
                <w:sz w:val="19"/>
                <w:szCs w:val="19"/>
              </w:rPr>
              <w:t xml:space="preserve"> Guideline Preventing contrast induced acute kidney </w:t>
            </w:r>
            <w:r>
              <w:rPr>
                <w:sz w:val="19"/>
                <w:szCs w:val="19"/>
              </w:rPr>
              <w:t xml:space="preserve">ACCESSED on 25 5 2019 </w:t>
            </w:r>
            <w:proofErr w:type="spellStart"/>
            <w:r w:rsidRPr="004352CC">
              <w:rPr>
                <w:sz w:val="19"/>
                <w:szCs w:val="19"/>
              </w:rPr>
              <w:t>injury.</w:t>
            </w:r>
            <w:hyperlink r:id="rId15" w:history="1">
              <w:r w:rsidRPr="004352CC">
                <w:rPr>
                  <w:rStyle w:val="Hyperlink"/>
                  <w:color w:val="auto"/>
                  <w:sz w:val="19"/>
                  <w:szCs w:val="19"/>
                </w:rPr>
                <w:t>http</w:t>
              </w:r>
              <w:proofErr w:type="spellEnd"/>
              <w:r w:rsidRPr="004352CC">
                <w:rPr>
                  <w:rStyle w:val="Hyperlink"/>
                  <w:color w:val="auto"/>
                  <w:sz w:val="19"/>
                  <w:szCs w:val="19"/>
                </w:rPr>
                <w:t>://www.nice.org.uk/guidance/cg169/evidence</w:t>
              </w:r>
            </w:hyperlink>
          </w:p>
          <w:p w14:paraId="78C25EE1" w14:textId="77777777" w:rsidR="00A030AB" w:rsidRPr="00A030AB" w:rsidRDefault="00A030AB" w:rsidP="00A030AB">
            <w:pPr>
              <w:pStyle w:val="ListParagraph"/>
              <w:rPr>
                <w:rFonts w:cstheme="minorHAnsi"/>
                <w:i/>
                <w:sz w:val="19"/>
                <w:szCs w:val="19"/>
              </w:rPr>
            </w:pPr>
          </w:p>
          <w:p w14:paraId="53BEDE2A" w14:textId="77777777" w:rsidR="00F8662F" w:rsidRPr="006C7923" w:rsidRDefault="00F8662F" w:rsidP="00F8662F">
            <w:pPr>
              <w:pStyle w:val="ListParagraph"/>
              <w:numPr>
                <w:ilvl w:val="0"/>
                <w:numId w:val="35"/>
              </w:numPr>
              <w:rPr>
                <w:rStyle w:val="HTMLCite"/>
                <w:rFonts w:cstheme="minorHAnsi"/>
                <w:iCs w:val="0"/>
                <w:sz w:val="19"/>
                <w:szCs w:val="19"/>
              </w:rPr>
            </w:pPr>
            <w:r w:rsidRPr="00EA3785">
              <w:rPr>
                <w:rFonts w:cstheme="minorHAnsi"/>
                <w:sz w:val="19"/>
                <w:szCs w:val="19"/>
              </w:rPr>
              <w:t xml:space="preserve">Other </w:t>
            </w:r>
            <w:r>
              <w:rPr>
                <w:rFonts w:cstheme="minorHAnsi"/>
                <w:sz w:val="19"/>
                <w:szCs w:val="19"/>
              </w:rPr>
              <w:t xml:space="preserve">CM </w:t>
            </w:r>
            <w:r w:rsidRPr="00EA3785">
              <w:rPr>
                <w:rFonts w:cstheme="minorHAnsi"/>
                <w:sz w:val="19"/>
                <w:szCs w:val="19"/>
              </w:rPr>
              <w:t xml:space="preserve">product information based on LHD nominated product &lt; PRODUCT NAME  </w:t>
            </w:r>
            <w:r w:rsidRPr="00EA3785">
              <w:rPr>
                <w:rStyle w:val="HTMLCite"/>
                <w:rFonts w:cstheme="minorHAnsi"/>
                <w:sz w:val="19"/>
                <w:szCs w:val="19"/>
              </w:rPr>
              <w:t xml:space="preserve">(accessed date:  XX </w:t>
            </w:r>
            <w:proofErr w:type="spellStart"/>
            <w:r w:rsidRPr="00EA3785">
              <w:rPr>
                <w:rStyle w:val="HTMLCite"/>
                <w:rFonts w:cstheme="minorHAnsi"/>
                <w:sz w:val="19"/>
                <w:szCs w:val="19"/>
              </w:rPr>
              <w:t>XX</w:t>
            </w:r>
            <w:proofErr w:type="spellEnd"/>
            <w:r w:rsidRPr="00EA3785">
              <w:rPr>
                <w:rStyle w:val="HTMLCite"/>
                <w:rFonts w:cstheme="minorHAnsi"/>
                <w:sz w:val="19"/>
                <w:szCs w:val="19"/>
              </w:rPr>
              <w:t xml:space="preserve"> 20XX) &gt;</w:t>
            </w:r>
          </w:p>
          <w:p w14:paraId="5C5DD7FC" w14:textId="77777777" w:rsidR="00F8662F" w:rsidRPr="006C7923" w:rsidRDefault="00F8662F" w:rsidP="00F8662F">
            <w:pPr>
              <w:pStyle w:val="ListParagraph"/>
              <w:rPr>
                <w:rStyle w:val="HTMLCite"/>
                <w:rFonts w:cstheme="minorHAnsi"/>
                <w:iCs w:val="0"/>
                <w:sz w:val="19"/>
                <w:szCs w:val="19"/>
              </w:rPr>
            </w:pPr>
          </w:p>
          <w:p w14:paraId="1733B983" w14:textId="77777777" w:rsidR="00F8662F" w:rsidRPr="00AD4899" w:rsidRDefault="00F8662F" w:rsidP="00F8662F">
            <w:pPr>
              <w:pStyle w:val="ListParagraph"/>
              <w:numPr>
                <w:ilvl w:val="0"/>
                <w:numId w:val="35"/>
              </w:numPr>
              <w:spacing w:after="200"/>
              <w:rPr>
                <w:rStyle w:val="Hyperlink"/>
                <w:rFonts w:cstheme="minorHAnsi"/>
                <w:i/>
                <w:color w:val="auto"/>
                <w:sz w:val="19"/>
                <w:szCs w:val="19"/>
                <w:u w:val="none"/>
              </w:rPr>
            </w:pPr>
            <w:r>
              <w:rPr>
                <w:rStyle w:val="Hyperlink"/>
                <w:rFonts w:cstheme="minorHAnsi"/>
                <w:i/>
                <w:color w:val="auto"/>
                <w:sz w:val="19"/>
                <w:szCs w:val="19"/>
              </w:rPr>
              <w:t xml:space="preserve">ANY </w:t>
            </w:r>
            <w:r w:rsidRPr="00D1501C">
              <w:rPr>
                <w:rStyle w:val="Hyperlink"/>
                <w:rFonts w:cstheme="minorHAnsi"/>
                <w:i/>
                <w:color w:val="auto"/>
                <w:sz w:val="19"/>
                <w:szCs w:val="19"/>
              </w:rPr>
              <w:t xml:space="preserve">LHD specific </w:t>
            </w:r>
            <w:r w:rsidR="00AD4899">
              <w:rPr>
                <w:rStyle w:val="Hyperlink"/>
                <w:rFonts w:cstheme="minorHAnsi"/>
                <w:i/>
                <w:color w:val="auto"/>
                <w:sz w:val="19"/>
                <w:szCs w:val="19"/>
              </w:rPr>
              <w:t xml:space="preserve">policy </w:t>
            </w:r>
            <w:r w:rsidRPr="00D1501C">
              <w:rPr>
                <w:rStyle w:val="Hyperlink"/>
                <w:rFonts w:cstheme="minorHAnsi"/>
                <w:i/>
                <w:color w:val="auto"/>
                <w:sz w:val="19"/>
                <w:szCs w:val="19"/>
              </w:rPr>
              <w:t>sites &lt; INSERT&gt;</w:t>
            </w:r>
            <w:r>
              <w:rPr>
                <w:rStyle w:val="Hyperlink"/>
                <w:rFonts w:cstheme="minorHAnsi"/>
                <w:i/>
                <w:color w:val="auto"/>
                <w:sz w:val="19"/>
                <w:szCs w:val="19"/>
              </w:rPr>
              <w:t xml:space="preserve"> ANY </w:t>
            </w:r>
            <w:r w:rsidRPr="00D1501C">
              <w:rPr>
                <w:rStyle w:val="Hyperlink"/>
                <w:rFonts w:cstheme="minorHAnsi"/>
                <w:i/>
                <w:color w:val="auto"/>
                <w:sz w:val="19"/>
                <w:szCs w:val="19"/>
              </w:rPr>
              <w:t>LHD specific sites &lt; INSERT&gt;</w:t>
            </w:r>
          </w:p>
          <w:p w14:paraId="36609DB3" w14:textId="77777777" w:rsidR="00AD4899" w:rsidRPr="00AD4899" w:rsidRDefault="00AD4899" w:rsidP="00AD4899">
            <w:pPr>
              <w:pStyle w:val="ListParagraph"/>
              <w:rPr>
                <w:rStyle w:val="HTMLCite"/>
                <w:rFonts w:cstheme="minorHAnsi"/>
                <w:iCs w:val="0"/>
                <w:sz w:val="19"/>
                <w:szCs w:val="19"/>
              </w:rPr>
            </w:pPr>
          </w:p>
          <w:p w14:paraId="338E9DF7" w14:textId="77777777" w:rsidR="00AD4899" w:rsidRPr="00A030AB" w:rsidRDefault="00AD4899" w:rsidP="00AD4899">
            <w:pPr>
              <w:pStyle w:val="Pa0"/>
              <w:numPr>
                <w:ilvl w:val="0"/>
                <w:numId w:val="35"/>
              </w:numPr>
              <w:rPr>
                <w:rStyle w:val="A0"/>
                <w:rFonts w:asciiTheme="minorHAnsi" w:hAnsiTheme="minorHAnsi" w:cstheme="minorHAnsi"/>
                <w:b w:val="0"/>
                <w:sz w:val="19"/>
                <w:szCs w:val="19"/>
              </w:rPr>
            </w:pPr>
            <w:r w:rsidRPr="00A030AB">
              <w:rPr>
                <w:rStyle w:val="A0"/>
                <w:rFonts w:asciiTheme="minorHAnsi" w:hAnsiTheme="minorHAnsi" w:cstheme="minorHAnsi"/>
                <w:b w:val="0"/>
                <w:sz w:val="19"/>
                <w:szCs w:val="19"/>
              </w:rPr>
              <w:t xml:space="preserve">Peri-operative risk of SGLT2 inhibitor-associated ketoacidosis. Clinical Excellence Commission, </w:t>
            </w:r>
            <w:r w:rsidR="00A42D39" w:rsidRPr="00A030AB">
              <w:rPr>
                <w:rStyle w:val="A0"/>
                <w:rFonts w:asciiTheme="minorHAnsi" w:hAnsiTheme="minorHAnsi" w:cstheme="minorHAnsi"/>
                <w:b w:val="0"/>
                <w:sz w:val="19"/>
                <w:szCs w:val="19"/>
              </w:rPr>
              <w:t>CEC Safety</w:t>
            </w:r>
            <w:r w:rsidRPr="00A030AB">
              <w:rPr>
                <w:rStyle w:val="A0"/>
                <w:rFonts w:asciiTheme="minorHAnsi" w:hAnsiTheme="minorHAnsi" w:cstheme="minorHAnsi"/>
                <w:b w:val="0"/>
                <w:sz w:val="19"/>
                <w:szCs w:val="19"/>
              </w:rPr>
              <w:t xml:space="preserve"> Notice 005/18</w:t>
            </w:r>
          </w:p>
          <w:p w14:paraId="014EE094" w14:textId="77777777" w:rsidR="00F8662F" w:rsidRDefault="00F8662F" w:rsidP="00F8662F"/>
          <w:p w14:paraId="4A0A4B0F" w14:textId="77777777" w:rsidR="00F8662F" w:rsidRPr="00F8662F" w:rsidRDefault="00F8662F" w:rsidP="00F8662F">
            <w:pPr>
              <w:rPr>
                <w:b/>
              </w:rPr>
            </w:pPr>
            <w:r w:rsidRPr="00F8662F">
              <w:rPr>
                <w:b/>
              </w:rPr>
              <w:t>Bibliography</w:t>
            </w:r>
          </w:p>
          <w:p w14:paraId="5B56C7B1" w14:textId="77777777" w:rsidR="00F8662F" w:rsidRPr="00544528" w:rsidRDefault="00F8662F" w:rsidP="00F8662F">
            <w:pPr>
              <w:pStyle w:val="ListParagraph"/>
              <w:numPr>
                <w:ilvl w:val="0"/>
                <w:numId w:val="36"/>
              </w:numPr>
              <w:autoSpaceDE w:val="0"/>
              <w:autoSpaceDN w:val="0"/>
              <w:adjustRightInd w:val="0"/>
              <w:spacing w:after="200"/>
              <w:rPr>
                <w:rFonts w:eastAsia="MS Mincho" w:cs="Arial"/>
                <w:color w:val="000000"/>
                <w:sz w:val="19"/>
                <w:szCs w:val="19"/>
              </w:rPr>
            </w:pPr>
            <w:r w:rsidRPr="00544528">
              <w:rPr>
                <w:rFonts w:eastAsia="MS Mincho" w:cs="Arial"/>
                <w:bCs/>
                <w:color w:val="000000"/>
                <w:sz w:val="19"/>
                <w:szCs w:val="19"/>
              </w:rPr>
              <w:t>Risk of Intravenous Contrast Material–mediated Acute Kidney Injury: A Propensity Score–matched Study Stratified by Baseline-estimated Glomerular Filtration Rate McDonald et al Radiology: Volume 271: Number 1—April 2014.</w:t>
            </w:r>
          </w:p>
          <w:p w14:paraId="2B37C897" w14:textId="77777777" w:rsidR="00F8662F" w:rsidRPr="00544528" w:rsidRDefault="00F8662F" w:rsidP="00F8662F">
            <w:pPr>
              <w:pStyle w:val="ListParagraph"/>
              <w:numPr>
                <w:ilvl w:val="0"/>
                <w:numId w:val="36"/>
              </w:numPr>
              <w:autoSpaceDE w:val="0"/>
              <w:autoSpaceDN w:val="0"/>
              <w:adjustRightInd w:val="0"/>
              <w:spacing w:after="200"/>
              <w:rPr>
                <w:rFonts w:eastAsia="MS Mincho" w:cs="Arial"/>
                <w:color w:val="000000"/>
                <w:sz w:val="19"/>
                <w:szCs w:val="19"/>
              </w:rPr>
            </w:pPr>
            <w:r w:rsidRPr="00544528">
              <w:rPr>
                <w:rFonts w:eastAsia="MS Mincho" w:cs="Arial"/>
                <w:bCs/>
                <w:color w:val="000000"/>
                <w:sz w:val="19"/>
                <w:szCs w:val="19"/>
              </w:rPr>
              <w:t xml:space="preserve">The High Risk of Contrast-induced Nephropathy in Patients with Suspected Pulmonary Embolism Despite Three Different Prophylaxis: A Randomized Controlled Trial </w:t>
            </w:r>
            <w:proofErr w:type="spellStart"/>
            <w:r w:rsidRPr="00544528">
              <w:rPr>
                <w:rFonts w:eastAsia="MS Mincho" w:cs="Arial"/>
                <w:bCs/>
                <w:color w:val="000000"/>
                <w:sz w:val="19"/>
                <w:szCs w:val="19"/>
              </w:rPr>
              <w:t>Turdei</w:t>
            </w:r>
            <w:proofErr w:type="spellEnd"/>
            <w:r w:rsidRPr="00544528">
              <w:rPr>
                <w:rFonts w:eastAsia="MS Mincho" w:cs="Arial"/>
                <w:bCs/>
                <w:color w:val="000000"/>
                <w:sz w:val="19"/>
                <w:szCs w:val="19"/>
              </w:rPr>
              <w:t xml:space="preserve"> et al Academic Emergency Medicine 2016; 23:1136–1145 </w:t>
            </w:r>
          </w:p>
          <w:p w14:paraId="161702EE" w14:textId="77777777" w:rsidR="00F8662F" w:rsidRPr="00544528" w:rsidRDefault="00F8662F" w:rsidP="00F8662F">
            <w:pPr>
              <w:pStyle w:val="ListParagraph"/>
              <w:numPr>
                <w:ilvl w:val="0"/>
                <w:numId w:val="36"/>
              </w:numPr>
              <w:spacing w:after="200" w:line="276" w:lineRule="auto"/>
              <w:rPr>
                <w:rFonts w:cstheme="minorHAnsi"/>
                <w:sz w:val="19"/>
                <w:szCs w:val="19"/>
              </w:rPr>
            </w:pPr>
            <w:r w:rsidRPr="00544528">
              <w:rPr>
                <w:rFonts w:eastAsia="MS Mincho" w:cs="Arial"/>
                <w:bCs/>
                <w:color w:val="000000"/>
                <w:sz w:val="19"/>
                <w:szCs w:val="19"/>
              </w:rPr>
              <w:t>Prophylactic hydration to protect renal function from intravascular iodinated contrast material in patients at high risk of contrast-induced nephropathy (AMACING): a prospective, randomised, phase 3, controlled, open-label, non-inferiority trial The Lancet February 20, 2017</w:t>
            </w:r>
          </w:p>
          <w:p w14:paraId="0BD80F2C" w14:textId="77777777" w:rsidR="00F8662F" w:rsidRPr="00544528" w:rsidRDefault="00F8662F" w:rsidP="00F8662F">
            <w:pPr>
              <w:pStyle w:val="ListParagraph"/>
              <w:numPr>
                <w:ilvl w:val="0"/>
                <w:numId w:val="36"/>
              </w:numPr>
              <w:autoSpaceDE w:val="0"/>
              <w:autoSpaceDN w:val="0"/>
              <w:adjustRightInd w:val="0"/>
              <w:spacing w:after="200"/>
              <w:rPr>
                <w:rFonts w:cstheme="minorHAnsi"/>
                <w:sz w:val="19"/>
                <w:szCs w:val="19"/>
              </w:rPr>
            </w:pPr>
            <w:r w:rsidRPr="00544528">
              <w:rPr>
                <w:rFonts w:eastAsia="MS Mincho" w:cs="Arial"/>
                <w:bCs/>
                <w:color w:val="000000"/>
                <w:sz w:val="19"/>
                <w:szCs w:val="19"/>
              </w:rPr>
              <w:t>Risk of Acute Kidney Injury After Intravenous Contrast Media Administration Hinson et al Ann Emerg Med. 2017.</w:t>
            </w:r>
          </w:p>
          <w:p w14:paraId="520D231A" w14:textId="77777777" w:rsidR="00F8662F" w:rsidRPr="00CD3A3F" w:rsidRDefault="00F8662F" w:rsidP="00F8662F">
            <w:pPr>
              <w:pStyle w:val="ListParagraph"/>
              <w:numPr>
                <w:ilvl w:val="0"/>
                <w:numId w:val="36"/>
              </w:numPr>
            </w:pPr>
            <w:r w:rsidRPr="00F8662F">
              <w:rPr>
                <w:rFonts w:cstheme="minorHAnsi"/>
                <w:sz w:val="19"/>
                <w:szCs w:val="19"/>
              </w:rPr>
              <w:t xml:space="preserve">Pregnancy and Breastfeeding Medicines Guide: The Royal Women’s Hospital, Victoria </w:t>
            </w:r>
            <w:r w:rsidR="00A42D39" w:rsidRPr="00F8662F">
              <w:rPr>
                <w:rFonts w:cstheme="minorHAnsi"/>
                <w:sz w:val="19"/>
                <w:szCs w:val="19"/>
              </w:rPr>
              <w:t>Accessed 9</w:t>
            </w:r>
            <w:r w:rsidRPr="00F8662F">
              <w:rPr>
                <w:rFonts w:cstheme="minorHAnsi"/>
                <w:sz w:val="19"/>
                <w:szCs w:val="19"/>
              </w:rPr>
              <w:t xml:space="preserve"> Oct 2018 at</w:t>
            </w:r>
            <w:r w:rsidRPr="00F8662F">
              <w:rPr>
                <w:rFonts w:cstheme="minorHAnsi"/>
                <w:i/>
                <w:sz w:val="19"/>
                <w:szCs w:val="19"/>
              </w:rPr>
              <w:t xml:space="preserve"> </w:t>
            </w:r>
            <w:r w:rsidRPr="00F8662F">
              <w:rPr>
                <w:rFonts w:cstheme="minorHAnsi"/>
                <w:i/>
                <w:color w:val="0000FF"/>
                <w:sz w:val="19"/>
                <w:szCs w:val="19"/>
              </w:rPr>
              <w:t>https://the womenspbmg.org.au/</w:t>
            </w:r>
          </w:p>
        </w:tc>
      </w:tr>
      <w:tr w:rsidR="003A67AF" w14:paraId="647BAF3A" w14:textId="77777777" w:rsidTr="00384D80">
        <w:trPr>
          <w:trHeight w:val="2293"/>
        </w:trPr>
        <w:tc>
          <w:tcPr>
            <w:tcW w:w="1725" w:type="dxa"/>
          </w:tcPr>
          <w:p w14:paraId="2BDEFB77" w14:textId="77777777" w:rsidR="003A67AF" w:rsidRDefault="003A67AF" w:rsidP="00032543">
            <w:pPr>
              <w:rPr>
                <w:rFonts w:asciiTheme="minorHAnsi" w:hAnsiTheme="minorHAnsi" w:cstheme="minorHAnsi"/>
                <w:b/>
                <w:sz w:val="19"/>
                <w:szCs w:val="19"/>
              </w:rPr>
            </w:pPr>
            <w:r>
              <w:rPr>
                <w:rFonts w:asciiTheme="minorHAnsi" w:hAnsiTheme="minorHAnsi" w:cstheme="minorHAnsi"/>
                <w:b/>
                <w:sz w:val="19"/>
                <w:szCs w:val="19"/>
              </w:rPr>
              <w:lastRenderedPageBreak/>
              <w:t>Groups consulted</w:t>
            </w:r>
          </w:p>
        </w:tc>
        <w:tc>
          <w:tcPr>
            <w:tcW w:w="8512" w:type="dxa"/>
          </w:tcPr>
          <w:p w14:paraId="2461CA24" w14:textId="77777777" w:rsidR="003A67AF" w:rsidRPr="007217A6" w:rsidRDefault="003A67AF" w:rsidP="003A67AF">
            <w:pPr>
              <w:pStyle w:val="ListParagraph"/>
              <w:numPr>
                <w:ilvl w:val="0"/>
                <w:numId w:val="32"/>
              </w:numPr>
              <w:spacing w:after="200" w:line="276" w:lineRule="auto"/>
              <w:rPr>
                <w:rFonts w:cstheme="minorHAnsi"/>
                <w:sz w:val="19"/>
                <w:szCs w:val="19"/>
              </w:rPr>
            </w:pPr>
            <w:r w:rsidRPr="007217A6">
              <w:rPr>
                <w:rFonts w:cstheme="minorHAnsi"/>
                <w:sz w:val="19"/>
                <w:szCs w:val="19"/>
              </w:rPr>
              <w:t>Agency for Clinical Innovation, Radiology Network and Nuclear Medicine Network</w:t>
            </w:r>
          </w:p>
          <w:p w14:paraId="56948C9C" w14:textId="77777777" w:rsidR="003A67AF" w:rsidRPr="007217A6" w:rsidRDefault="003A67AF" w:rsidP="003A67AF">
            <w:pPr>
              <w:pStyle w:val="ListParagraph"/>
              <w:numPr>
                <w:ilvl w:val="0"/>
                <w:numId w:val="32"/>
              </w:numPr>
              <w:spacing w:after="200" w:line="276" w:lineRule="auto"/>
              <w:rPr>
                <w:rFonts w:cstheme="minorHAnsi"/>
                <w:sz w:val="19"/>
                <w:szCs w:val="19"/>
              </w:rPr>
            </w:pPr>
            <w:r w:rsidRPr="007217A6">
              <w:rPr>
                <w:rFonts w:cstheme="minorHAnsi"/>
                <w:sz w:val="19"/>
                <w:szCs w:val="19"/>
              </w:rPr>
              <w:t xml:space="preserve">Pharmaceutical Services Branch, Ministry of Health </w:t>
            </w:r>
          </w:p>
          <w:p w14:paraId="1BE32C18" w14:textId="77777777" w:rsidR="003A67AF" w:rsidRPr="007217A6" w:rsidRDefault="003A67AF" w:rsidP="003A67AF">
            <w:pPr>
              <w:pStyle w:val="ListParagraph"/>
              <w:numPr>
                <w:ilvl w:val="0"/>
                <w:numId w:val="32"/>
              </w:numPr>
              <w:spacing w:after="200" w:line="276" w:lineRule="auto"/>
              <w:rPr>
                <w:rFonts w:cstheme="minorHAnsi"/>
                <w:sz w:val="19"/>
                <w:szCs w:val="19"/>
              </w:rPr>
            </w:pPr>
            <w:r w:rsidRPr="007217A6">
              <w:rPr>
                <w:rFonts w:cstheme="minorHAnsi"/>
                <w:sz w:val="19"/>
                <w:szCs w:val="19"/>
              </w:rPr>
              <w:t>Clinical Excellence Commission, Medication Safety Expert Advisory Committee (MSEAC)</w:t>
            </w:r>
          </w:p>
          <w:p w14:paraId="751F4C03" w14:textId="77777777" w:rsidR="003A67AF" w:rsidRPr="007217A6" w:rsidRDefault="003A67AF" w:rsidP="003A67AF">
            <w:pPr>
              <w:pStyle w:val="ListParagraph"/>
              <w:numPr>
                <w:ilvl w:val="0"/>
                <w:numId w:val="32"/>
              </w:numPr>
              <w:spacing w:after="200" w:line="276" w:lineRule="auto"/>
              <w:rPr>
                <w:rFonts w:cstheme="minorHAnsi"/>
                <w:sz w:val="19"/>
                <w:szCs w:val="19"/>
              </w:rPr>
            </w:pPr>
            <w:r w:rsidRPr="007217A6">
              <w:rPr>
                <w:rFonts w:cstheme="minorHAnsi"/>
                <w:sz w:val="19"/>
                <w:szCs w:val="19"/>
              </w:rPr>
              <w:t>Royal Australian and New Zealand College of Radiologists</w:t>
            </w:r>
          </w:p>
          <w:p w14:paraId="4CB4113D" w14:textId="77777777" w:rsidR="003A67AF" w:rsidRPr="007217A6" w:rsidRDefault="003A67AF" w:rsidP="003A67AF">
            <w:pPr>
              <w:pStyle w:val="ListParagraph"/>
              <w:numPr>
                <w:ilvl w:val="0"/>
                <w:numId w:val="32"/>
              </w:numPr>
              <w:spacing w:after="200" w:line="276" w:lineRule="auto"/>
              <w:rPr>
                <w:rFonts w:cstheme="minorHAnsi"/>
                <w:sz w:val="19"/>
                <w:szCs w:val="19"/>
              </w:rPr>
            </w:pPr>
            <w:r>
              <w:rPr>
                <w:rFonts w:cstheme="minorHAnsi"/>
                <w:sz w:val="19"/>
                <w:szCs w:val="19"/>
              </w:rPr>
              <w:t>NSW LHDs</w:t>
            </w:r>
            <w:r w:rsidRPr="007217A6">
              <w:rPr>
                <w:rFonts w:cstheme="minorHAnsi"/>
                <w:sz w:val="19"/>
                <w:szCs w:val="19"/>
              </w:rPr>
              <w:t xml:space="preserve"> (Distribution to </w:t>
            </w:r>
            <w:r w:rsidR="001C64A0">
              <w:rPr>
                <w:rFonts w:cstheme="minorHAnsi"/>
                <w:sz w:val="19"/>
                <w:szCs w:val="19"/>
              </w:rPr>
              <w:t>LHD</w:t>
            </w:r>
            <w:r w:rsidRPr="007217A6">
              <w:rPr>
                <w:rFonts w:cstheme="minorHAnsi"/>
                <w:sz w:val="19"/>
                <w:szCs w:val="19"/>
              </w:rPr>
              <w:t xml:space="preserve"> Dr</w:t>
            </w:r>
            <w:r w:rsidR="001C64A0">
              <w:rPr>
                <w:rFonts w:cstheme="minorHAnsi"/>
                <w:sz w:val="19"/>
                <w:szCs w:val="19"/>
              </w:rPr>
              <w:t>ug and Therapeutics Committee/</w:t>
            </w:r>
            <w:r w:rsidRPr="007217A6">
              <w:rPr>
                <w:rFonts w:cstheme="minorHAnsi"/>
                <w:sz w:val="19"/>
                <w:szCs w:val="19"/>
              </w:rPr>
              <w:t>Quality Use of Medicines Committees, Imaging Departments and other relevant departments)</w:t>
            </w:r>
          </w:p>
          <w:p w14:paraId="33063EA2" w14:textId="77777777" w:rsidR="003A67AF" w:rsidRPr="007217A6" w:rsidRDefault="003A67AF" w:rsidP="003A67AF">
            <w:pPr>
              <w:pStyle w:val="ListParagraph"/>
              <w:numPr>
                <w:ilvl w:val="0"/>
                <w:numId w:val="32"/>
              </w:numPr>
              <w:spacing w:after="200" w:line="276" w:lineRule="auto"/>
              <w:rPr>
                <w:rFonts w:cstheme="minorHAnsi"/>
                <w:sz w:val="19"/>
                <w:szCs w:val="19"/>
              </w:rPr>
            </w:pPr>
            <w:r w:rsidRPr="007217A6">
              <w:rPr>
                <w:rFonts w:cstheme="minorHAnsi"/>
                <w:sz w:val="19"/>
                <w:szCs w:val="19"/>
              </w:rPr>
              <w:t>NSW Therapeutic Advisory Group (TAG)</w:t>
            </w:r>
          </w:p>
          <w:p w14:paraId="119D8ECB" w14:textId="77777777" w:rsidR="003A67AF" w:rsidRPr="003A67AF" w:rsidRDefault="003A67AF" w:rsidP="003A67AF">
            <w:pPr>
              <w:pStyle w:val="ListParagraph"/>
              <w:numPr>
                <w:ilvl w:val="0"/>
                <w:numId w:val="32"/>
              </w:numPr>
              <w:spacing w:after="200" w:line="276" w:lineRule="auto"/>
              <w:rPr>
                <w:rFonts w:cstheme="minorHAnsi"/>
                <w:sz w:val="19"/>
                <w:szCs w:val="19"/>
              </w:rPr>
            </w:pPr>
            <w:r>
              <w:rPr>
                <w:rFonts w:cstheme="minorHAnsi"/>
                <w:sz w:val="19"/>
                <w:szCs w:val="19"/>
              </w:rPr>
              <w:t xml:space="preserve">NSW Consumer Council </w:t>
            </w:r>
            <w:r w:rsidRPr="007217A6">
              <w:rPr>
                <w:rFonts w:cstheme="minorHAnsi"/>
                <w:sz w:val="19"/>
                <w:szCs w:val="19"/>
              </w:rPr>
              <w:t>(for related information sheets and checklist)</w:t>
            </w:r>
            <w:r>
              <w:rPr>
                <w:rFonts w:asciiTheme="minorHAnsi" w:hAnsiTheme="minorHAnsi" w:cstheme="minorHAnsi"/>
                <w:b/>
                <w:sz w:val="19"/>
                <w:szCs w:val="19"/>
              </w:rPr>
              <w:t xml:space="preserve"> </w:t>
            </w:r>
          </w:p>
        </w:tc>
      </w:tr>
      <w:tr w:rsidR="003A67AF" w14:paraId="744E3D90" w14:textId="77777777" w:rsidTr="00A42D39">
        <w:tc>
          <w:tcPr>
            <w:tcW w:w="1725" w:type="dxa"/>
          </w:tcPr>
          <w:p w14:paraId="77FE27B9" w14:textId="77777777" w:rsidR="003A67AF" w:rsidRDefault="003A67AF" w:rsidP="00032543">
            <w:pPr>
              <w:rPr>
                <w:rFonts w:asciiTheme="minorHAnsi" w:hAnsiTheme="minorHAnsi" w:cstheme="minorHAnsi"/>
                <w:b/>
                <w:sz w:val="19"/>
                <w:szCs w:val="19"/>
              </w:rPr>
            </w:pPr>
            <w:r>
              <w:rPr>
                <w:rFonts w:asciiTheme="minorHAnsi" w:hAnsiTheme="minorHAnsi" w:cstheme="minorHAnsi"/>
                <w:b/>
                <w:sz w:val="19"/>
                <w:szCs w:val="19"/>
              </w:rPr>
              <w:t>Key words</w:t>
            </w:r>
          </w:p>
        </w:tc>
        <w:tc>
          <w:tcPr>
            <w:tcW w:w="8512" w:type="dxa"/>
          </w:tcPr>
          <w:p w14:paraId="6C46D45F" w14:textId="77777777" w:rsidR="003A67AF" w:rsidRPr="003A67AF" w:rsidRDefault="003A67AF" w:rsidP="003A67AF">
            <w:pPr>
              <w:spacing w:after="200"/>
              <w:rPr>
                <w:rFonts w:cstheme="minorHAnsi"/>
                <w:sz w:val="19"/>
                <w:szCs w:val="19"/>
              </w:rPr>
            </w:pPr>
            <w:r>
              <w:rPr>
                <w:rFonts w:asciiTheme="minorHAnsi" w:hAnsiTheme="minorHAnsi" w:cstheme="minorHAnsi"/>
                <w:sz w:val="19"/>
                <w:szCs w:val="19"/>
              </w:rPr>
              <w:t>Contrast m</w:t>
            </w:r>
            <w:r w:rsidRPr="00EA3785">
              <w:rPr>
                <w:rFonts w:asciiTheme="minorHAnsi" w:hAnsiTheme="minorHAnsi" w:cstheme="minorHAnsi"/>
                <w:sz w:val="19"/>
                <w:szCs w:val="19"/>
              </w:rPr>
              <w:t xml:space="preserve">edia, </w:t>
            </w:r>
            <w:r>
              <w:rPr>
                <w:rFonts w:asciiTheme="minorHAnsi" w:hAnsiTheme="minorHAnsi" w:cstheme="minorHAnsi"/>
                <w:sz w:val="19"/>
                <w:szCs w:val="19"/>
              </w:rPr>
              <w:t>contrast agent, CT c</w:t>
            </w:r>
            <w:r w:rsidRPr="00EA3785">
              <w:rPr>
                <w:rFonts w:asciiTheme="minorHAnsi" w:hAnsiTheme="minorHAnsi" w:cstheme="minorHAnsi"/>
                <w:sz w:val="19"/>
                <w:szCs w:val="19"/>
              </w:rPr>
              <w:t xml:space="preserve">ontrast, </w:t>
            </w:r>
            <w:r>
              <w:rPr>
                <w:rFonts w:asciiTheme="minorHAnsi" w:hAnsiTheme="minorHAnsi" w:cstheme="minorHAnsi"/>
                <w:sz w:val="19"/>
                <w:szCs w:val="19"/>
              </w:rPr>
              <w:t>Radiocontrast, Intravenous contrast examinations, Contrast induced AKI, Contrast i</w:t>
            </w:r>
            <w:r w:rsidRPr="00EA3785">
              <w:rPr>
                <w:rFonts w:asciiTheme="minorHAnsi" w:hAnsiTheme="minorHAnsi" w:cstheme="minorHAnsi"/>
                <w:sz w:val="19"/>
                <w:szCs w:val="19"/>
              </w:rPr>
              <w:t xml:space="preserve">nduced nephrotoxicity, </w:t>
            </w:r>
            <w:proofErr w:type="spellStart"/>
            <w:r w:rsidRPr="00EA3785">
              <w:rPr>
                <w:rFonts w:asciiTheme="minorHAnsi" w:hAnsiTheme="minorHAnsi" w:cstheme="minorHAnsi"/>
                <w:sz w:val="19"/>
                <w:szCs w:val="19"/>
              </w:rPr>
              <w:t>iohexol</w:t>
            </w:r>
            <w:proofErr w:type="spellEnd"/>
            <w:r w:rsidR="00C65F36">
              <w:rPr>
                <w:rFonts w:asciiTheme="minorHAnsi" w:hAnsiTheme="minorHAnsi" w:cstheme="minorHAnsi"/>
                <w:sz w:val="19"/>
                <w:szCs w:val="19"/>
              </w:rPr>
              <w:t>, &lt; Contrast Media name&gt;</w:t>
            </w:r>
          </w:p>
        </w:tc>
      </w:tr>
      <w:tr w:rsidR="003A67AF" w14:paraId="0CDC987F" w14:textId="77777777" w:rsidTr="00A42D39">
        <w:tc>
          <w:tcPr>
            <w:tcW w:w="1725" w:type="dxa"/>
          </w:tcPr>
          <w:p w14:paraId="789CC3A8" w14:textId="77777777" w:rsidR="003A67AF" w:rsidRDefault="003A67AF" w:rsidP="00032543">
            <w:pPr>
              <w:rPr>
                <w:rFonts w:asciiTheme="minorHAnsi" w:hAnsiTheme="minorHAnsi" w:cstheme="minorHAnsi"/>
                <w:b/>
                <w:sz w:val="19"/>
                <w:szCs w:val="19"/>
              </w:rPr>
            </w:pPr>
            <w:r w:rsidRPr="00EA3785">
              <w:rPr>
                <w:rFonts w:asciiTheme="minorHAnsi" w:hAnsiTheme="minorHAnsi" w:cstheme="minorHAnsi"/>
                <w:b/>
                <w:sz w:val="19"/>
                <w:szCs w:val="19"/>
              </w:rPr>
              <w:t>Summary of changes if replacing an existing document</w:t>
            </w:r>
          </w:p>
        </w:tc>
        <w:tc>
          <w:tcPr>
            <w:tcW w:w="8512" w:type="dxa"/>
          </w:tcPr>
          <w:p w14:paraId="310AF819" w14:textId="77777777" w:rsidR="003A67AF" w:rsidRDefault="003A67AF" w:rsidP="003A67AF">
            <w:pPr>
              <w:spacing w:after="200"/>
              <w:rPr>
                <w:rFonts w:asciiTheme="minorHAnsi" w:hAnsiTheme="minorHAnsi" w:cstheme="minorHAnsi"/>
                <w:sz w:val="19"/>
                <w:szCs w:val="19"/>
              </w:rPr>
            </w:pPr>
            <w:r>
              <w:rPr>
                <w:rFonts w:asciiTheme="minorHAnsi" w:hAnsiTheme="minorHAnsi" w:cstheme="minorHAnsi"/>
                <w:sz w:val="19"/>
                <w:szCs w:val="19"/>
              </w:rPr>
              <w:t>N/A</w:t>
            </w:r>
          </w:p>
        </w:tc>
      </w:tr>
      <w:tr w:rsidR="00A030AB" w14:paraId="2EAD4FD6" w14:textId="77777777" w:rsidTr="00A42D39">
        <w:tc>
          <w:tcPr>
            <w:tcW w:w="1725" w:type="dxa"/>
          </w:tcPr>
          <w:p w14:paraId="05D30992" w14:textId="77777777" w:rsidR="00A030AB" w:rsidRPr="00EA3785" w:rsidRDefault="00205A48" w:rsidP="00032543">
            <w:pPr>
              <w:rPr>
                <w:rFonts w:asciiTheme="minorHAnsi" w:hAnsiTheme="minorHAnsi" w:cstheme="minorHAnsi"/>
                <w:b/>
                <w:sz w:val="19"/>
                <w:szCs w:val="19"/>
              </w:rPr>
            </w:pPr>
            <w:r>
              <w:rPr>
                <w:rFonts w:asciiTheme="minorHAnsi" w:hAnsiTheme="minorHAnsi" w:cstheme="minorHAnsi"/>
                <w:b/>
                <w:sz w:val="19"/>
                <w:szCs w:val="19"/>
              </w:rPr>
              <w:t>Related legislation</w:t>
            </w:r>
          </w:p>
        </w:tc>
        <w:tc>
          <w:tcPr>
            <w:tcW w:w="8512" w:type="dxa"/>
          </w:tcPr>
          <w:p w14:paraId="0C22D9D1" w14:textId="77777777" w:rsidR="00A030AB" w:rsidRPr="00205A48" w:rsidRDefault="00A030AB" w:rsidP="00A030AB">
            <w:pPr>
              <w:spacing w:after="200"/>
              <w:rPr>
                <w:rFonts w:asciiTheme="minorHAnsi" w:hAnsiTheme="minorHAnsi" w:cstheme="minorHAnsi"/>
                <w:sz w:val="19"/>
                <w:szCs w:val="19"/>
              </w:rPr>
            </w:pPr>
            <w:r>
              <w:rPr>
                <w:rFonts w:asciiTheme="minorHAnsi" w:hAnsiTheme="minorHAnsi" w:cstheme="minorHAnsi"/>
                <w:sz w:val="19"/>
                <w:szCs w:val="19"/>
              </w:rPr>
              <w:t>Related l</w:t>
            </w:r>
            <w:r w:rsidRPr="00A030AB">
              <w:rPr>
                <w:rFonts w:asciiTheme="minorHAnsi" w:hAnsiTheme="minorHAnsi" w:cstheme="minorHAnsi"/>
                <w:sz w:val="19"/>
                <w:szCs w:val="19"/>
              </w:rPr>
              <w:t>egislation (including OHS legislation), Australian Standards, NSW Health Policy or Circular</w:t>
            </w:r>
            <w:r w:rsidRPr="00205A48">
              <w:rPr>
                <w:rFonts w:asciiTheme="minorHAnsi" w:hAnsiTheme="minorHAnsi" w:cstheme="minorHAnsi"/>
                <w:sz w:val="19"/>
                <w:szCs w:val="19"/>
              </w:rPr>
              <w:t>, other LHD documents, Professional Guidelines, Codes of Practice or Ethics:</w:t>
            </w:r>
          </w:p>
          <w:p w14:paraId="300AEE1C" w14:textId="77777777" w:rsidR="00A030AB" w:rsidRPr="00205A48" w:rsidRDefault="00A030AB" w:rsidP="00205A48">
            <w:pPr>
              <w:pStyle w:val="ListParagraph"/>
              <w:numPr>
                <w:ilvl w:val="0"/>
                <w:numId w:val="39"/>
              </w:numPr>
              <w:rPr>
                <w:sz w:val="19"/>
                <w:szCs w:val="19"/>
              </w:rPr>
            </w:pPr>
            <w:r w:rsidRPr="00205A48">
              <w:rPr>
                <w:sz w:val="19"/>
                <w:szCs w:val="19"/>
              </w:rPr>
              <w:t>Poisons Act and Regulations</w:t>
            </w:r>
          </w:p>
          <w:p w14:paraId="2E5D7114" w14:textId="77777777" w:rsidR="00A030AB" w:rsidRPr="00205A48" w:rsidRDefault="00A030AB" w:rsidP="00205A48">
            <w:pPr>
              <w:pStyle w:val="ListParagraph"/>
              <w:numPr>
                <w:ilvl w:val="0"/>
                <w:numId w:val="39"/>
              </w:numPr>
              <w:rPr>
                <w:sz w:val="19"/>
                <w:szCs w:val="19"/>
              </w:rPr>
            </w:pPr>
            <w:r w:rsidRPr="00205A48">
              <w:rPr>
                <w:sz w:val="19"/>
                <w:szCs w:val="19"/>
              </w:rPr>
              <w:t>PD2013_043 – Medication Handling in NSW Public Health Facilities</w:t>
            </w:r>
          </w:p>
          <w:p w14:paraId="51C7DBFD" w14:textId="77777777" w:rsidR="00A030AB" w:rsidRPr="00205A48" w:rsidRDefault="00A030AB" w:rsidP="00205A48">
            <w:pPr>
              <w:pStyle w:val="ListParagraph"/>
              <w:numPr>
                <w:ilvl w:val="0"/>
                <w:numId w:val="39"/>
              </w:numPr>
              <w:rPr>
                <w:sz w:val="19"/>
                <w:szCs w:val="19"/>
              </w:rPr>
            </w:pPr>
            <w:r w:rsidRPr="00205A48">
              <w:rPr>
                <w:sz w:val="19"/>
                <w:szCs w:val="19"/>
              </w:rPr>
              <w:t>NSW Health Policy Directive PD2014_036 Clinical Procedure Safety</w:t>
            </w:r>
          </w:p>
          <w:p w14:paraId="7B4F5CF0" w14:textId="77777777" w:rsidR="00A030AB" w:rsidRDefault="00A030AB" w:rsidP="00205A48">
            <w:pPr>
              <w:pStyle w:val="ListParagraph"/>
              <w:numPr>
                <w:ilvl w:val="0"/>
                <w:numId w:val="39"/>
              </w:numPr>
            </w:pPr>
            <w:r w:rsidRPr="00205A48">
              <w:rPr>
                <w:sz w:val="19"/>
                <w:szCs w:val="19"/>
              </w:rPr>
              <w:t>Nurse and Midwife Initiated Medicines PD2013_043:PCP 4 (for NIM, MIM and N/MIM only)</w:t>
            </w:r>
          </w:p>
        </w:tc>
      </w:tr>
    </w:tbl>
    <w:p w14:paraId="49DC86E7" w14:textId="77777777" w:rsidR="00205A48" w:rsidRDefault="00205A48">
      <w:pPr>
        <w:spacing w:after="200"/>
        <w:rPr>
          <w:rFonts w:eastAsia="MS Mincho"/>
          <w:lang w:eastAsia="ja-JP"/>
        </w:rPr>
      </w:pPr>
    </w:p>
    <w:p w14:paraId="2C3034AB" w14:textId="77777777" w:rsidR="00205A48" w:rsidRDefault="00205A48">
      <w:pPr>
        <w:spacing w:after="200"/>
        <w:rPr>
          <w:rFonts w:eastAsia="MS Mincho"/>
          <w:lang w:eastAsia="ja-JP"/>
        </w:rPr>
      </w:pPr>
      <w:r>
        <w:rPr>
          <w:rFonts w:eastAsia="MS Mincho"/>
          <w:lang w:eastAsia="ja-JP"/>
        </w:rPr>
        <w:br w:type="page"/>
      </w:r>
    </w:p>
    <w:tbl>
      <w:tblPr>
        <w:tblStyle w:val="TableGrid1"/>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85" w:type="dxa"/>
          <w:left w:w="85" w:type="dxa"/>
          <w:bottom w:w="85" w:type="dxa"/>
          <w:right w:w="85" w:type="dxa"/>
        </w:tblCellMar>
        <w:tblLook w:val="04A0" w:firstRow="1" w:lastRow="0" w:firstColumn="1" w:lastColumn="0" w:noHBand="0" w:noVBand="1"/>
      </w:tblPr>
      <w:tblGrid>
        <w:gridCol w:w="4513"/>
        <w:gridCol w:w="1795"/>
        <w:gridCol w:w="3284"/>
      </w:tblGrid>
      <w:tr w:rsidR="001C64A0" w:rsidRPr="00AF0A49" w14:paraId="41FCBC70" w14:textId="77777777" w:rsidTr="00384D80">
        <w:trPr>
          <w:trHeight w:val="397"/>
        </w:trPr>
        <w:tc>
          <w:tcPr>
            <w:tcW w:w="9592" w:type="dxa"/>
            <w:gridSpan w:val="3"/>
            <w:shd w:val="clear" w:color="auto" w:fill="D9D9D9" w:themeFill="background1" w:themeFillShade="D9"/>
          </w:tcPr>
          <w:p w14:paraId="50615B69" w14:textId="77777777" w:rsidR="001C64A0" w:rsidRPr="00AF0A49" w:rsidRDefault="001C64A0" w:rsidP="00384D80">
            <w:pPr>
              <w:spacing w:after="200"/>
              <w:rPr>
                <w:rFonts w:cs="Arial"/>
                <w:b/>
                <w:sz w:val="24"/>
                <w:szCs w:val="24"/>
              </w:rPr>
            </w:pPr>
            <w:r w:rsidRPr="00AF0A49">
              <w:rPr>
                <w:rFonts w:cs="Arial"/>
                <w:b/>
                <w:sz w:val="24"/>
                <w:szCs w:val="24"/>
              </w:rPr>
              <w:lastRenderedPageBreak/>
              <w:t>AUTHORISATION</w:t>
            </w:r>
          </w:p>
        </w:tc>
      </w:tr>
      <w:tr w:rsidR="001C64A0" w:rsidRPr="00AF0A49" w14:paraId="550363FD" w14:textId="77777777" w:rsidTr="00384D80">
        <w:trPr>
          <w:trHeight w:val="397"/>
        </w:trPr>
        <w:tc>
          <w:tcPr>
            <w:tcW w:w="4513" w:type="dxa"/>
          </w:tcPr>
          <w:p w14:paraId="17D5E0BE" w14:textId="77777777" w:rsidR="001C64A0" w:rsidRPr="00AF0A49" w:rsidRDefault="001C64A0" w:rsidP="00384D80">
            <w:pPr>
              <w:spacing w:after="200"/>
              <w:rPr>
                <w:rFonts w:cs="Arial"/>
                <w:b/>
              </w:rPr>
            </w:pPr>
            <w:r w:rsidRPr="00AF0A49">
              <w:rPr>
                <w:rFonts w:cs="Arial"/>
                <w:b/>
              </w:rPr>
              <w:t>Author</w:t>
            </w:r>
          </w:p>
        </w:tc>
        <w:tc>
          <w:tcPr>
            <w:tcW w:w="5079" w:type="dxa"/>
            <w:gridSpan w:val="2"/>
          </w:tcPr>
          <w:p w14:paraId="031B9A84" w14:textId="77777777" w:rsidR="001C64A0" w:rsidRPr="00AF0A49" w:rsidRDefault="001C64A0" w:rsidP="00384D80">
            <w:pPr>
              <w:spacing w:after="200"/>
              <w:rPr>
                <w:rFonts w:cs="Arial"/>
              </w:rPr>
            </w:pPr>
          </w:p>
        </w:tc>
      </w:tr>
      <w:tr w:rsidR="001C64A0" w:rsidRPr="00AF0A49" w14:paraId="6A494DA5" w14:textId="77777777" w:rsidTr="00384D80">
        <w:trPr>
          <w:trHeight w:val="397"/>
        </w:trPr>
        <w:tc>
          <w:tcPr>
            <w:tcW w:w="4513" w:type="dxa"/>
          </w:tcPr>
          <w:p w14:paraId="7E1FB6ED" w14:textId="77777777" w:rsidR="001C64A0" w:rsidRPr="00AF0A49" w:rsidRDefault="001C64A0" w:rsidP="00384D80">
            <w:pPr>
              <w:spacing w:after="200"/>
              <w:rPr>
                <w:rFonts w:cs="Arial"/>
                <w:b/>
              </w:rPr>
            </w:pPr>
            <w:r w:rsidRPr="00AF0A49">
              <w:rPr>
                <w:rFonts w:cs="Arial"/>
                <w:b/>
              </w:rPr>
              <w:t>Position</w:t>
            </w:r>
          </w:p>
        </w:tc>
        <w:tc>
          <w:tcPr>
            <w:tcW w:w="5079" w:type="dxa"/>
            <w:gridSpan w:val="2"/>
          </w:tcPr>
          <w:p w14:paraId="21B9A706" w14:textId="77777777" w:rsidR="001C64A0" w:rsidRPr="00AF0A49" w:rsidRDefault="001C64A0" w:rsidP="00384D80">
            <w:pPr>
              <w:spacing w:after="200"/>
              <w:rPr>
                <w:rFonts w:cs="Arial"/>
              </w:rPr>
            </w:pPr>
          </w:p>
        </w:tc>
      </w:tr>
      <w:tr w:rsidR="001C64A0" w:rsidRPr="00AF0A49" w14:paraId="2529E823" w14:textId="77777777" w:rsidTr="00384D80">
        <w:trPr>
          <w:trHeight w:val="397"/>
        </w:trPr>
        <w:tc>
          <w:tcPr>
            <w:tcW w:w="4513" w:type="dxa"/>
          </w:tcPr>
          <w:p w14:paraId="1934A330" w14:textId="77777777" w:rsidR="001C64A0" w:rsidRPr="00AF0A49" w:rsidRDefault="001C64A0" w:rsidP="00384D80">
            <w:pPr>
              <w:spacing w:after="200"/>
              <w:rPr>
                <w:rFonts w:cs="Arial"/>
                <w:b/>
              </w:rPr>
            </w:pPr>
            <w:r w:rsidRPr="00AF0A49">
              <w:rPr>
                <w:rFonts w:cs="Arial"/>
                <w:b/>
              </w:rPr>
              <w:t>Department/Service/Clinical Network or Stream</w:t>
            </w:r>
          </w:p>
        </w:tc>
        <w:tc>
          <w:tcPr>
            <w:tcW w:w="5079" w:type="dxa"/>
            <w:gridSpan w:val="2"/>
          </w:tcPr>
          <w:p w14:paraId="13651FAA" w14:textId="77777777" w:rsidR="001C64A0" w:rsidRPr="00AF0A49" w:rsidRDefault="001C64A0" w:rsidP="00384D80">
            <w:pPr>
              <w:spacing w:after="200"/>
              <w:rPr>
                <w:rFonts w:cs="Arial"/>
              </w:rPr>
            </w:pPr>
          </w:p>
          <w:p w14:paraId="297C6B37" w14:textId="77777777" w:rsidR="001C64A0" w:rsidRPr="00AF0A49" w:rsidRDefault="001C64A0" w:rsidP="00384D80">
            <w:pPr>
              <w:rPr>
                <w:rFonts w:cs="Arial"/>
              </w:rPr>
            </w:pPr>
          </w:p>
        </w:tc>
      </w:tr>
      <w:tr w:rsidR="001C64A0" w:rsidRPr="00AF0A49" w14:paraId="3A0069D2" w14:textId="77777777" w:rsidTr="00384D80">
        <w:trPr>
          <w:trHeight w:val="397"/>
        </w:trPr>
        <w:tc>
          <w:tcPr>
            <w:tcW w:w="4513" w:type="dxa"/>
          </w:tcPr>
          <w:p w14:paraId="53BB414F" w14:textId="77777777" w:rsidR="001C64A0" w:rsidRPr="00AF0A49" w:rsidRDefault="001C64A0" w:rsidP="00384D80">
            <w:pPr>
              <w:spacing w:after="200"/>
              <w:rPr>
                <w:rFonts w:cs="Arial"/>
                <w:b/>
              </w:rPr>
            </w:pPr>
            <w:r w:rsidRPr="00AF0A49">
              <w:rPr>
                <w:rFonts w:cs="Arial"/>
                <w:b/>
              </w:rPr>
              <w:t>Department/Service/Clinical Network or Stream Contact</w:t>
            </w:r>
          </w:p>
        </w:tc>
        <w:tc>
          <w:tcPr>
            <w:tcW w:w="5079" w:type="dxa"/>
            <w:gridSpan w:val="2"/>
          </w:tcPr>
          <w:p w14:paraId="51C54F30" w14:textId="77777777" w:rsidR="001C64A0" w:rsidRPr="00AF0A49" w:rsidRDefault="001C64A0" w:rsidP="00384D80">
            <w:pPr>
              <w:spacing w:after="200"/>
              <w:rPr>
                <w:rFonts w:cs="Arial"/>
              </w:rPr>
            </w:pPr>
          </w:p>
          <w:p w14:paraId="197BB5F6" w14:textId="77777777" w:rsidR="001C64A0" w:rsidRPr="00AF0A49" w:rsidRDefault="001C64A0" w:rsidP="00384D80">
            <w:pPr>
              <w:rPr>
                <w:rFonts w:cs="Arial"/>
              </w:rPr>
            </w:pPr>
          </w:p>
        </w:tc>
      </w:tr>
      <w:tr w:rsidR="001C64A0" w:rsidRPr="00AF0A49" w14:paraId="4B923E1F" w14:textId="77777777" w:rsidTr="00384D80">
        <w:trPr>
          <w:trHeight w:val="397"/>
        </w:trPr>
        <w:tc>
          <w:tcPr>
            <w:tcW w:w="4513" w:type="dxa"/>
          </w:tcPr>
          <w:p w14:paraId="3CE873C2" w14:textId="77777777" w:rsidR="001C64A0" w:rsidRPr="00AF0A49" w:rsidRDefault="001C64A0" w:rsidP="00384D80">
            <w:pPr>
              <w:spacing w:after="200"/>
              <w:rPr>
                <w:rFonts w:cs="Arial"/>
                <w:b/>
              </w:rPr>
            </w:pPr>
            <w:r w:rsidRPr="00AF0A49">
              <w:rPr>
                <w:rFonts w:cs="Arial"/>
                <w:b/>
              </w:rPr>
              <w:t>Date authorised by Department/Service/Clinical Network or Stream position/committee</w:t>
            </w:r>
          </w:p>
        </w:tc>
        <w:tc>
          <w:tcPr>
            <w:tcW w:w="5079" w:type="dxa"/>
            <w:gridSpan w:val="2"/>
          </w:tcPr>
          <w:p w14:paraId="3CADA47B" w14:textId="77777777" w:rsidR="001C64A0" w:rsidRPr="00AF0A49" w:rsidRDefault="001C64A0" w:rsidP="00384D80">
            <w:pPr>
              <w:spacing w:after="200"/>
              <w:rPr>
                <w:rFonts w:cs="Arial"/>
              </w:rPr>
            </w:pPr>
          </w:p>
          <w:p w14:paraId="6C8BD5B4" w14:textId="77777777" w:rsidR="001C64A0" w:rsidRPr="00AF0A49" w:rsidRDefault="001C64A0" w:rsidP="00384D80">
            <w:pPr>
              <w:spacing w:after="200"/>
              <w:rPr>
                <w:rFonts w:cs="Arial"/>
              </w:rPr>
            </w:pPr>
          </w:p>
        </w:tc>
      </w:tr>
      <w:tr w:rsidR="001C64A0" w:rsidRPr="00AF0A49" w14:paraId="178597A4" w14:textId="77777777" w:rsidTr="00384D80">
        <w:trPr>
          <w:trHeight w:val="397"/>
        </w:trPr>
        <w:tc>
          <w:tcPr>
            <w:tcW w:w="9592" w:type="dxa"/>
            <w:gridSpan w:val="3"/>
            <w:shd w:val="clear" w:color="auto" w:fill="D9D9D9" w:themeFill="background1" w:themeFillShade="D9"/>
            <w:vAlign w:val="center"/>
          </w:tcPr>
          <w:p w14:paraId="4465FC1C" w14:textId="77777777" w:rsidR="001C64A0" w:rsidRPr="00AF0A49" w:rsidRDefault="001C64A0" w:rsidP="00384D80">
            <w:pPr>
              <w:spacing w:after="200"/>
              <w:rPr>
                <w:rFonts w:cs="Arial"/>
                <w:b/>
                <w:sz w:val="24"/>
                <w:szCs w:val="24"/>
              </w:rPr>
            </w:pPr>
            <w:r w:rsidRPr="00AF0A49">
              <w:rPr>
                <w:rFonts w:cs="Arial"/>
                <w:b/>
                <w:sz w:val="24"/>
                <w:szCs w:val="24"/>
              </w:rPr>
              <w:t>GOVERNANCE</w:t>
            </w:r>
          </w:p>
        </w:tc>
      </w:tr>
      <w:tr w:rsidR="001C64A0" w:rsidRPr="00AF0A49" w14:paraId="0886FAA6" w14:textId="77777777" w:rsidTr="00384D80">
        <w:trPr>
          <w:trHeight w:val="397"/>
        </w:trPr>
        <w:tc>
          <w:tcPr>
            <w:tcW w:w="4513" w:type="dxa"/>
          </w:tcPr>
          <w:p w14:paraId="7B171D68" w14:textId="77777777" w:rsidR="001C64A0" w:rsidRPr="00AF0A49" w:rsidRDefault="001C64A0" w:rsidP="00384D80">
            <w:pPr>
              <w:spacing w:after="200"/>
              <w:rPr>
                <w:rFonts w:cs="Arial"/>
                <w:b/>
              </w:rPr>
            </w:pPr>
            <w:r w:rsidRPr="00AF0A49">
              <w:rPr>
                <w:rFonts w:cs="Arial"/>
                <w:b/>
              </w:rPr>
              <w:t>Enactment date</w:t>
            </w:r>
          </w:p>
        </w:tc>
        <w:tc>
          <w:tcPr>
            <w:tcW w:w="5079" w:type="dxa"/>
            <w:gridSpan w:val="2"/>
          </w:tcPr>
          <w:p w14:paraId="40D00CC7" w14:textId="77777777" w:rsidR="001C64A0" w:rsidRPr="00AF0A49" w:rsidRDefault="001C64A0" w:rsidP="00384D80">
            <w:pPr>
              <w:rPr>
                <w:rFonts w:cs="Arial"/>
              </w:rPr>
            </w:pPr>
          </w:p>
        </w:tc>
      </w:tr>
      <w:tr w:rsidR="001C64A0" w:rsidRPr="00AF0A49" w14:paraId="79888FC3" w14:textId="77777777" w:rsidTr="00384D80">
        <w:trPr>
          <w:trHeight w:val="397"/>
        </w:trPr>
        <w:tc>
          <w:tcPr>
            <w:tcW w:w="4513" w:type="dxa"/>
          </w:tcPr>
          <w:p w14:paraId="3D4A694D" w14:textId="77777777" w:rsidR="001C64A0" w:rsidRPr="00AF0A49" w:rsidRDefault="001C64A0" w:rsidP="00384D80">
            <w:pPr>
              <w:spacing w:after="200"/>
              <w:rPr>
                <w:rFonts w:cs="Arial"/>
                <w:b/>
              </w:rPr>
            </w:pPr>
            <w:r w:rsidRPr="00AF0A49">
              <w:rPr>
                <w:rFonts w:cs="Arial"/>
                <w:b/>
              </w:rPr>
              <w:t>Review date</w:t>
            </w:r>
          </w:p>
        </w:tc>
        <w:tc>
          <w:tcPr>
            <w:tcW w:w="5079" w:type="dxa"/>
            <w:gridSpan w:val="2"/>
          </w:tcPr>
          <w:p w14:paraId="6AB6953F" w14:textId="77777777" w:rsidR="001C64A0" w:rsidRPr="00AF0A49" w:rsidRDefault="001C64A0" w:rsidP="00384D80">
            <w:pPr>
              <w:spacing w:after="200"/>
              <w:rPr>
                <w:rFonts w:cs="Arial"/>
                <w:i/>
                <w:sz w:val="21"/>
                <w:szCs w:val="21"/>
              </w:rPr>
            </w:pPr>
          </w:p>
        </w:tc>
      </w:tr>
      <w:tr w:rsidR="001C64A0" w:rsidRPr="00AF0A49" w14:paraId="62C729ED" w14:textId="77777777" w:rsidTr="00384D80">
        <w:trPr>
          <w:trHeight w:val="397"/>
        </w:trPr>
        <w:tc>
          <w:tcPr>
            <w:tcW w:w="4513" w:type="dxa"/>
          </w:tcPr>
          <w:p w14:paraId="0700320A" w14:textId="77777777" w:rsidR="001C64A0" w:rsidRPr="00AF0A49" w:rsidRDefault="001C64A0" w:rsidP="00384D80">
            <w:pPr>
              <w:spacing w:after="200"/>
              <w:rPr>
                <w:rFonts w:cs="Arial"/>
                <w:b/>
              </w:rPr>
            </w:pPr>
            <w:r w:rsidRPr="00AF0A49">
              <w:rPr>
                <w:rFonts w:cs="Arial"/>
                <w:b/>
              </w:rPr>
              <w:t>Ratification by Quality Use of Medicines Committee</w:t>
            </w:r>
            <w:r>
              <w:rPr>
                <w:rFonts w:cs="Arial"/>
                <w:b/>
              </w:rPr>
              <w:t>/ Drug and Therapeutics Committee</w:t>
            </w:r>
          </w:p>
        </w:tc>
        <w:tc>
          <w:tcPr>
            <w:tcW w:w="1795" w:type="dxa"/>
          </w:tcPr>
          <w:p w14:paraId="2D8C6966" w14:textId="77777777" w:rsidR="001C64A0" w:rsidRPr="00AF0A49" w:rsidRDefault="001C64A0" w:rsidP="00384D80">
            <w:pPr>
              <w:spacing w:after="200"/>
              <w:rPr>
                <w:rFonts w:cs="Arial"/>
              </w:rPr>
            </w:pPr>
          </w:p>
        </w:tc>
        <w:tc>
          <w:tcPr>
            <w:tcW w:w="3284" w:type="dxa"/>
          </w:tcPr>
          <w:p w14:paraId="7EB437A1" w14:textId="77777777" w:rsidR="001C64A0" w:rsidRPr="00AF0A49" w:rsidRDefault="001C64A0" w:rsidP="00384D80">
            <w:pPr>
              <w:spacing w:after="200"/>
              <w:rPr>
                <w:rFonts w:cs="Arial"/>
              </w:rPr>
            </w:pPr>
          </w:p>
        </w:tc>
      </w:tr>
      <w:tr w:rsidR="001C64A0" w:rsidRPr="00AF0A49" w14:paraId="517FFE79" w14:textId="77777777" w:rsidTr="00384D80">
        <w:trPr>
          <w:trHeight w:val="397"/>
        </w:trPr>
        <w:tc>
          <w:tcPr>
            <w:tcW w:w="4513" w:type="dxa"/>
          </w:tcPr>
          <w:p w14:paraId="0DA04E7B" w14:textId="77777777" w:rsidR="001C64A0" w:rsidRPr="00AF0A49" w:rsidRDefault="001C64A0" w:rsidP="00384D80">
            <w:pPr>
              <w:spacing w:after="200"/>
              <w:rPr>
                <w:rFonts w:cs="Arial"/>
                <w:b/>
              </w:rPr>
            </w:pPr>
            <w:r w:rsidRPr="00AF0A49">
              <w:rPr>
                <w:rFonts w:cs="Arial"/>
                <w:b/>
              </w:rPr>
              <w:t>Previous version of guideline removed</w:t>
            </w:r>
          </w:p>
        </w:tc>
        <w:tc>
          <w:tcPr>
            <w:tcW w:w="5079" w:type="dxa"/>
            <w:gridSpan w:val="2"/>
          </w:tcPr>
          <w:p w14:paraId="59EF6EF1" w14:textId="77777777" w:rsidR="001C64A0" w:rsidRPr="00AF0A49" w:rsidRDefault="001C64A0" w:rsidP="00384D80">
            <w:pPr>
              <w:spacing w:after="200"/>
              <w:rPr>
                <w:rFonts w:cs="Arial"/>
              </w:rPr>
            </w:pPr>
            <w:r w:rsidRPr="00AF0A49">
              <w:rPr>
                <w:rFonts w:cs="Arial"/>
              </w:rPr>
              <w:t>Date</w:t>
            </w:r>
            <w:r>
              <w:rPr>
                <w:rFonts w:cs="Arial"/>
              </w:rPr>
              <w:t xml:space="preserve">: </w:t>
            </w:r>
            <w:r w:rsidRPr="00AF0A49">
              <w:rPr>
                <w:rFonts w:cs="Arial"/>
              </w:rPr>
              <w:t>Not applicable</w:t>
            </w:r>
          </w:p>
        </w:tc>
      </w:tr>
      <w:tr w:rsidR="001C64A0" w:rsidRPr="00AF0A49" w14:paraId="48082978" w14:textId="77777777" w:rsidTr="00384D80">
        <w:trPr>
          <w:trHeight w:val="397"/>
        </w:trPr>
        <w:tc>
          <w:tcPr>
            <w:tcW w:w="4513" w:type="dxa"/>
          </w:tcPr>
          <w:p w14:paraId="36524984" w14:textId="77777777" w:rsidR="001C64A0" w:rsidRPr="00AF0A49" w:rsidRDefault="001C64A0" w:rsidP="00384D80">
            <w:pPr>
              <w:spacing w:after="200"/>
              <w:rPr>
                <w:rFonts w:cs="Arial"/>
                <w:b/>
              </w:rPr>
            </w:pPr>
            <w:r w:rsidRPr="00AF0A49">
              <w:rPr>
                <w:rFonts w:cs="Arial"/>
                <w:b/>
              </w:rPr>
              <w:t>Approved guideline distributed</w:t>
            </w:r>
          </w:p>
        </w:tc>
        <w:tc>
          <w:tcPr>
            <w:tcW w:w="5079" w:type="dxa"/>
            <w:gridSpan w:val="2"/>
          </w:tcPr>
          <w:p w14:paraId="0DDB1377" w14:textId="77777777" w:rsidR="001C64A0" w:rsidRPr="00AF0A49" w:rsidRDefault="001C64A0" w:rsidP="00384D80">
            <w:pPr>
              <w:spacing w:after="200"/>
              <w:rPr>
                <w:rFonts w:cs="Arial"/>
              </w:rPr>
            </w:pPr>
            <w:r w:rsidRPr="00AF0A49">
              <w:rPr>
                <w:rFonts w:cs="Arial"/>
              </w:rPr>
              <w:t>Date:</w:t>
            </w:r>
          </w:p>
          <w:p w14:paraId="28866CC9" w14:textId="77777777" w:rsidR="001C64A0" w:rsidRPr="00AF0A49" w:rsidRDefault="001C64A0" w:rsidP="00384D80">
            <w:pPr>
              <w:rPr>
                <w:rFonts w:cs="Arial"/>
              </w:rPr>
            </w:pPr>
          </w:p>
        </w:tc>
      </w:tr>
      <w:tr w:rsidR="001C64A0" w:rsidRPr="00AF0A49" w14:paraId="13A68528" w14:textId="77777777" w:rsidTr="00384D80">
        <w:trPr>
          <w:trHeight w:val="397"/>
        </w:trPr>
        <w:tc>
          <w:tcPr>
            <w:tcW w:w="4513" w:type="dxa"/>
          </w:tcPr>
          <w:p w14:paraId="7C2BC13F" w14:textId="77777777" w:rsidR="001C64A0" w:rsidRPr="00AF0A49" w:rsidRDefault="001C64A0" w:rsidP="00384D80">
            <w:pPr>
              <w:spacing w:after="200"/>
              <w:rPr>
                <w:rFonts w:cs="Arial"/>
                <w:b/>
              </w:rPr>
            </w:pPr>
            <w:r w:rsidRPr="00AF0A49">
              <w:rPr>
                <w:rFonts w:cs="Arial"/>
                <w:b/>
              </w:rPr>
              <w:t>Location</w:t>
            </w:r>
          </w:p>
        </w:tc>
        <w:tc>
          <w:tcPr>
            <w:tcW w:w="5079" w:type="dxa"/>
            <w:gridSpan w:val="2"/>
            <w:shd w:val="clear" w:color="auto" w:fill="auto"/>
          </w:tcPr>
          <w:p w14:paraId="35A19A3A" w14:textId="77777777" w:rsidR="001C64A0" w:rsidRPr="00AF0A49" w:rsidRDefault="001C64A0" w:rsidP="00384D80">
            <w:pPr>
              <w:spacing w:after="200"/>
              <w:rPr>
                <w:rFonts w:cs="Arial"/>
              </w:rPr>
            </w:pPr>
            <w:r>
              <w:rPr>
                <w:rFonts w:cs="Arial"/>
              </w:rPr>
              <w:t xml:space="preserve">CT sections in </w:t>
            </w:r>
            <w:r w:rsidRPr="00AF0A49">
              <w:rPr>
                <w:rFonts w:cs="Arial"/>
              </w:rPr>
              <w:t xml:space="preserve">Radiology Departments, </w:t>
            </w:r>
            <w:r>
              <w:rPr>
                <w:rFonts w:cs="Arial"/>
              </w:rPr>
              <w:t xml:space="preserve">Nuclear Medicine and </w:t>
            </w:r>
            <w:r w:rsidR="00A42D39">
              <w:rPr>
                <w:rFonts w:cs="Arial"/>
              </w:rPr>
              <w:t>Radiation Oncology</w:t>
            </w:r>
            <w:r>
              <w:rPr>
                <w:rFonts w:cs="Arial"/>
              </w:rPr>
              <w:t xml:space="preserve"> Departments </w:t>
            </w:r>
          </w:p>
        </w:tc>
      </w:tr>
      <w:tr w:rsidR="001C64A0" w:rsidRPr="00AF0A49" w14:paraId="14D92A88" w14:textId="77777777" w:rsidTr="00384D80">
        <w:trPr>
          <w:trHeight w:val="397"/>
        </w:trPr>
        <w:tc>
          <w:tcPr>
            <w:tcW w:w="4513" w:type="dxa"/>
          </w:tcPr>
          <w:p w14:paraId="764EFA16" w14:textId="77777777" w:rsidR="001C64A0" w:rsidRPr="00AF0A49" w:rsidRDefault="001C64A0" w:rsidP="00384D80">
            <w:pPr>
              <w:spacing w:after="200"/>
              <w:rPr>
                <w:rFonts w:cs="Arial"/>
                <w:b/>
              </w:rPr>
            </w:pPr>
            <w:r w:rsidRPr="00AF0A49">
              <w:rPr>
                <w:rFonts w:cs="Arial"/>
                <w:b/>
              </w:rPr>
              <w:t>Guideline number</w:t>
            </w:r>
          </w:p>
        </w:tc>
        <w:tc>
          <w:tcPr>
            <w:tcW w:w="5079" w:type="dxa"/>
            <w:gridSpan w:val="2"/>
          </w:tcPr>
          <w:p w14:paraId="4EDD24CA" w14:textId="77777777" w:rsidR="001C64A0" w:rsidRPr="00AF0A49" w:rsidRDefault="001C64A0" w:rsidP="00384D80">
            <w:pPr>
              <w:spacing w:after="200"/>
              <w:rPr>
                <w:rFonts w:cs="Arial"/>
              </w:rPr>
            </w:pPr>
          </w:p>
        </w:tc>
      </w:tr>
      <w:tr w:rsidR="001C64A0" w:rsidRPr="00AF0A49" w14:paraId="53D66C31" w14:textId="77777777" w:rsidTr="00384D80">
        <w:trPr>
          <w:trHeight w:val="397"/>
        </w:trPr>
        <w:tc>
          <w:tcPr>
            <w:tcW w:w="4513" w:type="dxa"/>
          </w:tcPr>
          <w:p w14:paraId="6A417261" w14:textId="77777777" w:rsidR="001C64A0" w:rsidRPr="00AF0A49" w:rsidRDefault="001C64A0" w:rsidP="00384D80">
            <w:pPr>
              <w:spacing w:after="200"/>
              <w:rPr>
                <w:rFonts w:cs="Arial"/>
                <w:b/>
              </w:rPr>
            </w:pPr>
            <w:r w:rsidRPr="00AF0A49">
              <w:rPr>
                <w:rFonts w:cs="Arial"/>
                <w:b/>
              </w:rPr>
              <w:t xml:space="preserve">Replaces existing </w:t>
            </w:r>
            <w:proofErr w:type="gramStart"/>
            <w:r w:rsidRPr="00AF0A49">
              <w:rPr>
                <w:rFonts w:cs="Arial"/>
                <w:b/>
              </w:rPr>
              <w:t>document?</w:t>
            </w:r>
            <w:proofErr w:type="gramEnd"/>
            <w:r w:rsidRPr="00AF0A49">
              <w:rPr>
                <w:rFonts w:cs="Arial"/>
                <w:b/>
              </w:rPr>
              <w:t xml:space="preserve"> (If </w:t>
            </w:r>
            <w:proofErr w:type="gramStart"/>
            <w:r w:rsidRPr="00AF0A49">
              <w:rPr>
                <w:rFonts w:cs="Arial"/>
                <w:b/>
              </w:rPr>
              <w:t>Yes</w:t>
            </w:r>
            <w:proofErr w:type="gramEnd"/>
            <w:r w:rsidRPr="00AF0A49">
              <w:rPr>
                <w:rFonts w:cs="Arial"/>
                <w:b/>
              </w:rPr>
              <w:t>, list previous registratio</w:t>
            </w:r>
            <w:r>
              <w:rPr>
                <w:rFonts w:cs="Arial"/>
                <w:b/>
              </w:rPr>
              <w:t>n numbers and dates of approval</w:t>
            </w:r>
          </w:p>
        </w:tc>
        <w:tc>
          <w:tcPr>
            <w:tcW w:w="5079" w:type="dxa"/>
            <w:gridSpan w:val="2"/>
          </w:tcPr>
          <w:p w14:paraId="6BCDDE4F" w14:textId="77777777" w:rsidR="001C64A0" w:rsidRPr="00AF0A49" w:rsidRDefault="001C64A0" w:rsidP="00384D80">
            <w:pPr>
              <w:spacing w:after="200"/>
              <w:rPr>
                <w:rFonts w:cs="Arial"/>
              </w:rPr>
            </w:pPr>
          </w:p>
        </w:tc>
      </w:tr>
      <w:tr w:rsidR="001C64A0" w:rsidRPr="00AF0A49" w14:paraId="71DD46E4" w14:textId="77777777" w:rsidTr="00384D80">
        <w:trPr>
          <w:trHeight w:val="397"/>
        </w:trPr>
        <w:tc>
          <w:tcPr>
            <w:tcW w:w="4513" w:type="dxa"/>
          </w:tcPr>
          <w:p w14:paraId="6401786D" w14:textId="77777777" w:rsidR="001C64A0" w:rsidRPr="00AF0A49" w:rsidRDefault="001C64A0" w:rsidP="00384D80">
            <w:pPr>
              <w:spacing w:after="200"/>
              <w:rPr>
                <w:rFonts w:cs="Arial"/>
                <w:b/>
              </w:rPr>
            </w:pPr>
            <w:r>
              <w:rPr>
                <w:rFonts w:cs="Arial"/>
                <w:b/>
              </w:rPr>
              <w:t>V</w:t>
            </w:r>
            <w:r w:rsidRPr="00AF0A49">
              <w:rPr>
                <w:rFonts w:cs="Arial"/>
                <w:b/>
              </w:rPr>
              <w:t>ersion number</w:t>
            </w:r>
          </w:p>
        </w:tc>
        <w:tc>
          <w:tcPr>
            <w:tcW w:w="5079" w:type="dxa"/>
            <w:gridSpan w:val="2"/>
          </w:tcPr>
          <w:p w14:paraId="2775EBA1" w14:textId="77777777" w:rsidR="001C64A0" w:rsidRPr="00AF0A49" w:rsidRDefault="001C64A0" w:rsidP="00384D80">
            <w:pPr>
              <w:spacing w:after="200"/>
              <w:rPr>
                <w:rFonts w:cs="Arial"/>
              </w:rPr>
            </w:pPr>
            <w:r w:rsidRPr="00AF0A49">
              <w:rPr>
                <w:rFonts w:cs="Arial"/>
              </w:rPr>
              <w:t xml:space="preserve"> </w:t>
            </w:r>
            <w:r>
              <w:rPr>
                <w:rFonts w:cs="Arial"/>
              </w:rPr>
              <w:t>0.1</w:t>
            </w:r>
          </w:p>
        </w:tc>
      </w:tr>
    </w:tbl>
    <w:p w14:paraId="50F59D00" w14:textId="77777777" w:rsidR="001C64A0" w:rsidRDefault="001C64A0" w:rsidP="00C76A9E">
      <w:pPr>
        <w:rPr>
          <w:rFonts w:eastAsia="MS Mincho"/>
          <w:lang w:eastAsia="ja-JP"/>
        </w:rPr>
      </w:pPr>
    </w:p>
    <w:p w14:paraId="3EDFEEBB" w14:textId="77777777" w:rsidR="00085AA9" w:rsidRDefault="00085AA9" w:rsidP="00C76A9E">
      <w:pPr>
        <w:rPr>
          <w:rFonts w:eastAsia="MS Mincho"/>
          <w:lang w:eastAsia="ja-JP"/>
        </w:rPr>
      </w:pPr>
    </w:p>
    <w:p w14:paraId="47E3DF2D" w14:textId="6AA2DDC3" w:rsidR="00085AA9" w:rsidRPr="00085AA9" w:rsidRDefault="00085AA9" w:rsidP="00085AA9">
      <w:pPr>
        <w:pStyle w:val="BodyText"/>
        <w:spacing w:before="63"/>
        <w:jc w:val="right"/>
        <w:rPr>
          <w:rFonts w:cs="Arial"/>
          <w:sz w:val="16"/>
          <w:szCs w:val="16"/>
        </w:rPr>
      </w:pPr>
      <w:r w:rsidRPr="00085AA9">
        <w:rPr>
          <w:rFonts w:cs="Arial"/>
          <w:color w:val="414042"/>
          <w:sz w:val="16"/>
          <w:szCs w:val="16"/>
        </w:rPr>
        <w:t xml:space="preserve">Published </w:t>
      </w:r>
      <w:r w:rsidRPr="00085AA9">
        <w:rPr>
          <w:rFonts w:cs="Arial"/>
          <w:color w:val="414042"/>
          <w:sz w:val="16"/>
          <w:szCs w:val="16"/>
        </w:rPr>
        <w:t>Mar 2020</w:t>
      </w:r>
      <w:r w:rsidRPr="00085AA9">
        <w:rPr>
          <w:rFonts w:cs="Arial"/>
          <w:color w:val="414042"/>
          <w:sz w:val="16"/>
          <w:szCs w:val="16"/>
        </w:rPr>
        <w:t>.</w:t>
      </w:r>
      <w:r w:rsidRPr="00085AA9">
        <w:rPr>
          <w:rFonts w:cs="Arial"/>
          <w:color w:val="414042"/>
          <w:spacing w:val="-1"/>
          <w:sz w:val="16"/>
          <w:szCs w:val="16"/>
        </w:rPr>
        <w:t xml:space="preserve"> </w:t>
      </w:r>
      <w:r w:rsidRPr="00085AA9">
        <w:rPr>
          <w:rFonts w:cs="Arial"/>
          <w:color w:val="414042"/>
          <w:sz w:val="16"/>
          <w:szCs w:val="16"/>
        </w:rPr>
        <w:t>Next review 202</w:t>
      </w:r>
      <w:r w:rsidRPr="00085AA9">
        <w:rPr>
          <w:rFonts w:cs="Arial"/>
          <w:color w:val="414042"/>
          <w:sz w:val="16"/>
          <w:szCs w:val="16"/>
        </w:rPr>
        <w:t>6</w:t>
      </w:r>
      <w:r w:rsidRPr="00085AA9">
        <w:rPr>
          <w:rFonts w:cs="Arial"/>
          <w:color w:val="414042"/>
          <w:sz w:val="16"/>
          <w:szCs w:val="16"/>
        </w:rPr>
        <w:t>.</w:t>
      </w:r>
      <w:r w:rsidRPr="00085AA9">
        <w:rPr>
          <w:rFonts w:cs="Arial"/>
          <w:color w:val="414042"/>
          <w:spacing w:val="-1"/>
          <w:sz w:val="16"/>
          <w:szCs w:val="16"/>
        </w:rPr>
        <w:t xml:space="preserve"> </w:t>
      </w:r>
      <w:r w:rsidRPr="00085AA9">
        <w:rPr>
          <w:rFonts w:cs="Arial"/>
          <w:color w:val="414042"/>
          <w:sz w:val="16"/>
          <w:szCs w:val="16"/>
        </w:rPr>
        <w:t>©</w:t>
      </w:r>
      <w:r w:rsidRPr="00085AA9">
        <w:rPr>
          <w:rFonts w:cs="Arial"/>
          <w:color w:val="414042"/>
          <w:spacing w:val="2"/>
          <w:sz w:val="16"/>
          <w:szCs w:val="16"/>
        </w:rPr>
        <w:t xml:space="preserve"> </w:t>
      </w:r>
      <w:r w:rsidRPr="00085AA9">
        <w:rPr>
          <w:rFonts w:cs="Arial"/>
          <w:color w:val="414042"/>
          <w:sz w:val="16"/>
          <w:szCs w:val="16"/>
        </w:rPr>
        <w:t>State of</w:t>
      </w:r>
      <w:r w:rsidRPr="00085AA9">
        <w:rPr>
          <w:rFonts w:cs="Arial"/>
          <w:color w:val="414042"/>
          <w:spacing w:val="4"/>
          <w:sz w:val="16"/>
          <w:szCs w:val="16"/>
        </w:rPr>
        <w:t xml:space="preserve"> </w:t>
      </w:r>
      <w:r w:rsidRPr="00085AA9">
        <w:rPr>
          <w:rFonts w:cs="Arial"/>
          <w:color w:val="414042"/>
          <w:sz w:val="16"/>
          <w:szCs w:val="16"/>
        </w:rPr>
        <w:t>NSW</w:t>
      </w:r>
      <w:r w:rsidRPr="00085AA9">
        <w:rPr>
          <w:rFonts w:cs="Arial"/>
          <w:color w:val="414042"/>
          <w:spacing w:val="4"/>
          <w:sz w:val="16"/>
          <w:szCs w:val="16"/>
        </w:rPr>
        <w:t xml:space="preserve"> </w:t>
      </w:r>
      <w:r w:rsidRPr="00085AA9">
        <w:rPr>
          <w:rFonts w:cs="Arial"/>
          <w:color w:val="414042"/>
          <w:sz w:val="16"/>
          <w:szCs w:val="16"/>
        </w:rPr>
        <w:t>(Agency</w:t>
      </w:r>
      <w:r w:rsidRPr="00085AA9">
        <w:rPr>
          <w:rFonts w:cs="Arial"/>
          <w:color w:val="414042"/>
          <w:spacing w:val="4"/>
          <w:sz w:val="16"/>
          <w:szCs w:val="16"/>
        </w:rPr>
        <w:t xml:space="preserve"> </w:t>
      </w:r>
      <w:r w:rsidRPr="00085AA9">
        <w:rPr>
          <w:rFonts w:cs="Arial"/>
          <w:color w:val="414042"/>
          <w:sz w:val="16"/>
          <w:szCs w:val="16"/>
        </w:rPr>
        <w:t>for</w:t>
      </w:r>
      <w:r w:rsidRPr="00085AA9">
        <w:rPr>
          <w:rFonts w:cs="Arial"/>
          <w:color w:val="414042"/>
          <w:spacing w:val="4"/>
          <w:sz w:val="16"/>
          <w:szCs w:val="16"/>
        </w:rPr>
        <w:t xml:space="preserve"> </w:t>
      </w:r>
      <w:r w:rsidRPr="00085AA9">
        <w:rPr>
          <w:rFonts w:cs="Arial"/>
          <w:color w:val="414042"/>
          <w:sz w:val="16"/>
          <w:szCs w:val="16"/>
        </w:rPr>
        <w:t>Clinical</w:t>
      </w:r>
      <w:r w:rsidRPr="00085AA9">
        <w:rPr>
          <w:rFonts w:cs="Arial"/>
          <w:color w:val="414042"/>
          <w:spacing w:val="4"/>
          <w:sz w:val="16"/>
          <w:szCs w:val="16"/>
        </w:rPr>
        <w:t xml:space="preserve"> </w:t>
      </w:r>
      <w:r w:rsidRPr="00085AA9">
        <w:rPr>
          <w:rFonts w:cs="Arial"/>
          <w:color w:val="414042"/>
          <w:sz w:val="16"/>
          <w:szCs w:val="16"/>
        </w:rPr>
        <w:t>Innovation)</w:t>
      </w:r>
      <w:r w:rsidRPr="00085AA9">
        <w:rPr>
          <w:rFonts w:cs="Arial"/>
          <w:color w:val="414042"/>
          <w:spacing w:val="5"/>
          <w:sz w:val="16"/>
          <w:szCs w:val="16"/>
        </w:rPr>
        <w:t xml:space="preserve"> </w:t>
      </w:r>
      <w:r w:rsidRPr="00085AA9">
        <w:rPr>
          <w:rFonts w:cs="Arial"/>
          <w:color w:val="414042"/>
          <w:sz w:val="16"/>
          <w:szCs w:val="16"/>
        </w:rPr>
        <w:t>CC-ND-</w:t>
      </w:r>
      <w:r w:rsidRPr="00085AA9">
        <w:rPr>
          <w:rFonts w:cs="Arial"/>
          <w:color w:val="414042"/>
          <w:spacing w:val="-5"/>
          <w:sz w:val="16"/>
          <w:szCs w:val="16"/>
        </w:rPr>
        <w:t>BY</w:t>
      </w:r>
    </w:p>
    <w:p w14:paraId="3B0AE099" w14:textId="77777777" w:rsidR="00085AA9" w:rsidRDefault="00085AA9" w:rsidP="00C76A9E">
      <w:pPr>
        <w:rPr>
          <w:rFonts w:eastAsia="MS Mincho"/>
          <w:lang w:eastAsia="ja-JP"/>
        </w:rPr>
      </w:pPr>
    </w:p>
    <w:sectPr w:rsidR="00085AA9" w:rsidSect="008D19C2">
      <w:headerReference w:type="default" r:id="rId16"/>
      <w:type w:val="continuous"/>
      <w:pgSz w:w="11906" w:h="16838" w:code="9"/>
      <w:pgMar w:top="1418" w:right="1134" w:bottom="851" w:left="1134" w:header="567" w:footer="8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86F2" w14:textId="77777777" w:rsidR="008D19C2" w:rsidRDefault="008D19C2" w:rsidP="00AD24EB">
      <w:pPr>
        <w:spacing w:line="240" w:lineRule="auto"/>
      </w:pPr>
      <w:r>
        <w:separator/>
      </w:r>
    </w:p>
  </w:endnote>
  <w:endnote w:type="continuationSeparator" w:id="0">
    <w:p w14:paraId="229BC268" w14:textId="77777777" w:rsidR="008D19C2" w:rsidRDefault="008D19C2" w:rsidP="00AD2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JFFA W+ GE Inspira">
    <w:altName w:val="GE Inspir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F319" w14:textId="77777777" w:rsidR="00B006F3" w:rsidRPr="0016442B" w:rsidRDefault="00000000" w:rsidP="001C3E5D">
    <w:pPr>
      <w:pStyle w:val="Footer"/>
      <w:tabs>
        <w:tab w:val="clear" w:pos="9026"/>
        <w:tab w:val="right" w:pos="9498"/>
      </w:tabs>
      <w:rPr>
        <w:b/>
        <w:sz w:val="16"/>
      </w:rPr>
    </w:pPr>
    <w:sdt>
      <w:sdtPr>
        <w:id w:val="977494281"/>
        <w:docPartObj>
          <w:docPartGallery w:val="Page Numbers (Bottom of Page)"/>
          <w:docPartUnique/>
        </w:docPartObj>
      </w:sdtPr>
      <w:sdtEndPr>
        <w:rPr>
          <w:rStyle w:val="PageNumber"/>
          <w:b/>
          <w:color w:val="000000" w:themeColor="text1"/>
          <w:sz w:val="16"/>
        </w:rPr>
      </w:sdtEndPr>
      <w:sdtContent>
        <w:r w:rsidR="00B006F3" w:rsidRPr="0016442B">
          <w:tab/>
        </w:r>
        <w:r w:rsidR="009D4B74">
          <w:rPr>
            <w:sz w:val="18"/>
          </w:rPr>
          <w:tab/>
        </w:r>
        <w:r w:rsidR="00B006F3" w:rsidRPr="0016442B">
          <w:rPr>
            <w:sz w:val="18"/>
            <w:szCs w:val="18"/>
          </w:rPr>
          <w:fldChar w:fldCharType="begin"/>
        </w:r>
        <w:r w:rsidR="00B006F3" w:rsidRPr="0016442B">
          <w:rPr>
            <w:sz w:val="18"/>
            <w:szCs w:val="18"/>
          </w:rPr>
          <w:instrText xml:space="preserve"> PAGE   \* MERGEFORMAT </w:instrText>
        </w:r>
        <w:r w:rsidR="00B006F3" w:rsidRPr="0016442B">
          <w:rPr>
            <w:sz w:val="18"/>
            <w:szCs w:val="18"/>
          </w:rPr>
          <w:fldChar w:fldCharType="separate"/>
        </w:r>
        <w:r w:rsidR="00A21762">
          <w:rPr>
            <w:noProof/>
            <w:sz w:val="18"/>
            <w:szCs w:val="18"/>
          </w:rPr>
          <w:t>3</w:t>
        </w:r>
        <w:r w:rsidR="00B006F3" w:rsidRPr="0016442B">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C6FB" w14:textId="77777777" w:rsidR="00B006F3" w:rsidRPr="0016442B" w:rsidRDefault="00000000" w:rsidP="009D4B74">
    <w:pPr>
      <w:pStyle w:val="Footer"/>
      <w:tabs>
        <w:tab w:val="clear" w:pos="9026"/>
        <w:tab w:val="right" w:pos="9498"/>
      </w:tabs>
      <w:ind w:firstLine="4320"/>
      <w:rPr>
        <w:b/>
        <w:sz w:val="16"/>
      </w:rPr>
    </w:pPr>
    <w:sdt>
      <w:sdtPr>
        <w:id w:val="-1202553246"/>
        <w:docPartObj>
          <w:docPartGallery w:val="Page Numbers (Bottom of Page)"/>
          <w:docPartUnique/>
        </w:docPartObj>
      </w:sdtPr>
      <w:sdtEndPr>
        <w:rPr>
          <w:rStyle w:val="PageNumber"/>
          <w:b/>
          <w:color w:val="000000" w:themeColor="text1"/>
          <w:sz w:val="16"/>
        </w:rPr>
      </w:sdtEndPr>
      <w:sdtContent>
        <w:r w:rsidR="009D4B74" w:rsidRPr="001C7FF3">
          <w:rPr>
            <w:sz w:val="18"/>
          </w:rPr>
          <w:t xml:space="preserve">    </w:t>
        </w:r>
        <w:r w:rsidR="001B0F18">
          <w:rPr>
            <w:sz w:val="18"/>
          </w:rPr>
          <w:tab/>
        </w:r>
        <w:r w:rsidR="00A030AB" w:rsidRPr="00A030AB">
          <w:rPr>
            <w:sz w:val="18"/>
          </w:rPr>
          <w:t>Template: Medication Standing Order</w:t>
        </w:r>
        <w:r w:rsidR="00A030AB">
          <w:rPr>
            <w:sz w:val="18"/>
          </w:rPr>
          <w:t xml:space="preserve"> -- page</w:t>
        </w:r>
        <w:r w:rsidR="001C7FF3" w:rsidRPr="001C7FF3">
          <w:rPr>
            <w:sz w:val="18"/>
          </w:rPr>
          <w:t xml:space="preserve"> </w:t>
        </w:r>
        <w:r w:rsidR="00B006F3" w:rsidRPr="0016442B">
          <w:rPr>
            <w:sz w:val="18"/>
            <w:szCs w:val="18"/>
          </w:rPr>
          <w:fldChar w:fldCharType="begin"/>
        </w:r>
        <w:r w:rsidR="00B006F3" w:rsidRPr="0016442B">
          <w:rPr>
            <w:sz w:val="18"/>
            <w:szCs w:val="18"/>
          </w:rPr>
          <w:instrText xml:space="preserve"> PAGE   \* MERGEFORMAT </w:instrText>
        </w:r>
        <w:r w:rsidR="00B006F3" w:rsidRPr="0016442B">
          <w:rPr>
            <w:sz w:val="18"/>
            <w:szCs w:val="18"/>
          </w:rPr>
          <w:fldChar w:fldCharType="separate"/>
        </w:r>
        <w:r w:rsidR="00A21762">
          <w:rPr>
            <w:noProof/>
            <w:sz w:val="18"/>
            <w:szCs w:val="18"/>
          </w:rPr>
          <w:t>1</w:t>
        </w:r>
        <w:r w:rsidR="00B006F3" w:rsidRPr="0016442B">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D1E9" w14:textId="77777777" w:rsidR="008D19C2" w:rsidRDefault="008D19C2" w:rsidP="00AD24EB">
      <w:pPr>
        <w:spacing w:line="240" w:lineRule="auto"/>
      </w:pPr>
      <w:r>
        <w:separator/>
      </w:r>
    </w:p>
  </w:footnote>
  <w:footnote w:type="continuationSeparator" w:id="0">
    <w:p w14:paraId="6F10A864" w14:textId="77777777" w:rsidR="008D19C2" w:rsidRDefault="008D19C2" w:rsidP="00AD24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6873" w14:textId="77777777" w:rsidR="00B006F3" w:rsidRDefault="00B006F3">
    <w:pPr>
      <w:pStyle w:val="Header"/>
    </w:pPr>
    <w:r>
      <w:rPr>
        <w:noProof/>
      </w:rPr>
      <w:drawing>
        <wp:anchor distT="0" distB="0" distL="114300" distR="114300" simplePos="0" relativeHeight="251658240" behindDoc="1" locked="0" layoutInCell="1" allowOverlap="1" wp14:anchorId="35865F13" wp14:editId="7EFA397C">
          <wp:simplePos x="0" y="0"/>
          <wp:positionH relativeFrom="column">
            <wp:posOffset>-724535</wp:posOffset>
          </wp:positionH>
          <wp:positionV relativeFrom="paragraph">
            <wp:posOffset>-392676</wp:posOffset>
          </wp:positionV>
          <wp:extent cx="7560000" cy="18009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 2018 Letterhead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8009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FF18" w14:textId="77777777" w:rsidR="00B006F3" w:rsidRDefault="00B00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85.75pt;height:276pt" o:bullet="t">
        <v:imagedata r:id="rId1" o:title="Bullet1_Level1"/>
      </v:shape>
    </w:pict>
  </w:numPicBullet>
  <w:numPicBullet w:numPicBulletId="1">
    <w:pict>
      <v:shape id="_x0000_i1045" type="#_x0000_t75" style="width:149.25pt;height:141pt" o:bullet="t">
        <v:imagedata r:id="rId2" o:title="Bullet2_Level1"/>
      </v:shape>
    </w:pict>
  </w:numPicBullet>
  <w:abstractNum w:abstractNumId="0" w15:restartNumberingAfterBreak="0">
    <w:nsid w:val="109853EA"/>
    <w:multiLevelType w:val="multilevel"/>
    <w:tmpl w:val="5EC6600A"/>
    <w:lvl w:ilvl="0">
      <w:start w:val="1"/>
      <w:numFmt w:val="bullet"/>
      <w:lvlText w:val=""/>
      <w:lvlJc w:val="left"/>
      <w:pPr>
        <w:tabs>
          <w:tab w:val="num" w:pos="720"/>
        </w:tabs>
        <w:ind w:left="357" w:firstLine="0"/>
      </w:pPr>
      <w:rPr>
        <w:rFonts w:ascii="Symbol" w:hAnsi="Symbol" w:hint="default"/>
        <w:color w:val="auto"/>
      </w:rPr>
    </w:lvl>
    <w:lvl w:ilvl="1">
      <w:start w:val="1"/>
      <w:numFmt w:val="bullet"/>
      <w:lvlText w:val=""/>
      <w:lvlJc w:val="left"/>
      <w:pPr>
        <w:ind w:left="357" w:firstLine="363"/>
      </w:pPr>
      <w:rPr>
        <w:rFonts w:ascii="Wingdings" w:hAnsi="Wingdings" w:hint="default"/>
        <w:color w:val="auto"/>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1" w15:restartNumberingAfterBreak="0">
    <w:nsid w:val="14FD6ED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BE4A2C"/>
    <w:multiLevelType w:val="hybridMultilevel"/>
    <w:tmpl w:val="7186B0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C6869CA"/>
    <w:multiLevelType w:val="hybridMultilevel"/>
    <w:tmpl w:val="96C0CD70"/>
    <w:lvl w:ilvl="0" w:tplc="6FEE82A2">
      <w:start w:val="1"/>
      <w:numFmt w:val="decimal"/>
      <w:lvlText w:val="1.%1"/>
      <w:lvlJc w:val="righ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15:restartNumberingAfterBreak="0">
    <w:nsid w:val="1E097383"/>
    <w:multiLevelType w:val="hybridMultilevel"/>
    <w:tmpl w:val="7430F2A6"/>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5" w15:restartNumberingAfterBreak="0">
    <w:nsid w:val="1FC878C5"/>
    <w:multiLevelType w:val="hybridMultilevel"/>
    <w:tmpl w:val="047415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1340B7D"/>
    <w:multiLevelType w:val="multilevel"/>
    <w:tmpl w:val="E6142F20"/>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15:restartNumberingAfterBreak="0">
    <w:nsid w:val="219F15D6"/>
    <w:multiLevelType w:val="hybridMultilevel"/>
    <w:tmpl w:val="F82E8502"/>
    <w:lvl w:ilvl="0" w:tplc="0030727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7C3562"/>
    <w:multiLevelType w:val="hybridMultilevel"/>
    <w:tmpl w:val="9B64D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EC3B9B"/>
    <w:multiLevelType w:val="hybridMultilevel"/>
    <w:tmpl w:val="BD0850A6"/>
    <w:lvl w:ilvl="0" w:tplc="09F67E86">
      <w:start w:val="2"/>
      <w:numFmt w:val="decimal"/>
      <w:lvlText w:val="1.%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950AD3"/>
    <w:multiLevelType w:val="hybridMultilevel"/>
    <w:tmpl w:val="7598BCF6"/>
    <w:lvl w:ilvl="0" w:tplc="7A6A9ED4">
      <w:start w:val="1"/>
      <w:numFmt w:val="decimal"/>
      <w:lvlText w:val="%1."/>
      <w:lvlJc w:val="left"/>
      <w:pPr>
        <w:ind w:left="720" w:hanging="360"/>
      </w:pPr>
      <w:rPr>
        <w:sz w:val="19"/>
        <w:szCs w:val="19"/>
      </w:rPr>
    </w:lvl>
    <w:lvl w:ilvl="1" w:tplc="A0D0CD68">
      <w:numFmt w:val="bullet"/>
      <w:lvlText w:val="•"/>
      <w:lvlJc w:val="left"/>
      <w:pPr>
        <w:ind w:left="1800" w:hanging="720"/>
      </w:pPr>
      <w:rPr>
        <w:rFonts w:ascii="Arial" w:eastAsiaTheme="minorEastAsia"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3D3740"/>
    <w:multiLevelType w:val="hybridMultilevel"/>
    <w:tmpl w:val="DD1C3B5E"/>
    <w:lvl w:ilvl="0" w:tplc="E056E95E">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81027F"/>
    <w:multiLevelType w:val="multilevel"/>
    <w:tmpl w:val="E6142F20"/>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2D9F681E"/>
    <w:multiLevelType w:val="hybridMultilevel"/>
    <w:tmpl w:val="B39A8DA4"/>
    <w:lvl w:ilvl="0" w:tplc="5B320C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E50925"/>
    <w:multiLevelType w:val="hybridMultilevel"/>
    <w:tmpl w:val="E1B43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A03AC7"/>
    <w:multiLevelType w:val="hybridMultilevel"/>
    <w:tmpl w:val="62E8EF94"/>
    <w:lvl w:ilvl="0" w:tplc="A18AAE3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6265F"/>
    <w:multiLevelType w:val="multilevel"/>
    <w:tmpl w:val="B5CCFA3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7" w15:restartNumberingAfterBreak="0">
    <w:nsid w:val="43984EB8"/>
    <w:multiLevelType w:val="hybridMultilevel"/>
    <w:tmpl w:val="8104DF50"/>
    <w:lvl w:ilvl="0" w:tplc="0030727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833AE2"/>
    <w:multiLevelType w:val="multilevel"/>
    <w:tmpl w:val="E6142F20"/>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15:restartNumberingAfterBreak="0">
    <w:nsid w:val="478E5B7F"/>
    <w:multiLevelType w:val="hybridMultilevel"/>
    <w:tmpl w:val="641C0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9F389D"/>
    <w:multiLevelType w:val="hybridMultilevel"/>
    <w:tmpl w:val="B39A8DA4"/>
    <w:lvl w:ilvl="0" w:tplc="5B320C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C0034E"/>
    <w:multiLevelType w:val="hybridMultilevel"/>
    <w:tmpl w:val="D77E8852"/>
    <w:lvl w:ilvl="0" w:tplc="B96ABD0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AA78E7"/>
    <w:multiLevelType w:val="multilevel"/>
    <w:tmpl w:val="C3E80E76"/>
    <w:lvl w:ilvl="0">
      <w:start w:val="1"/>
      <w:numFmt w:val="decimal"/>
      <w:suff w:val="nothing"/>
      <w:lvlText w:val="%1.0"/>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3" w15:restartNumberingAfterBreak="0">
    <w:nsid w:val="568F690B"/>
    <w:multiLevelType w:val="hybridMultilevel"/>
    <w:tmpl w:val="0EF05B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B1542E"/>
    <w:multiLevelType w:val="multilevel"/>
    <w:tmpl w:val="12244B8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5" w15:restartNumberingAfterBreak="0">
    <w:nsid w:val="5E3E30D5"/>
    <w:multiLevelType w:val="multilevel"/>
    <w:tmpl w:val="E6142F20"/>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60266125"/>
    <w:multiLevelType w:val="hybridMultilevel"/>
    <w:tmpl w:val="218410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A96170"/>
    <w:multiLevelType w:val="hybridMultilevel"/>
    <w:tmpl w:val="9ED6E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5402DB"/>
    <w:multiLevelType w:val="hybridMultilevel"/>
    <w:tmpl w:val="649E5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1F702F"/>
    <w:multiLevelType w:val="hybridMultilevel"/>
    <w:tmpl w:val="150E32E4"/>
    <w:lvl w:ilvl="0" w:tplc="DE086AB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5944C4"/>
    <w:multiLevelType w:val="multilevel"/>
    <w:tmpl w:val="6C8A5F7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1" w15:restartNumberingAfterBreak="0">
    <w:nsid w:val="6F35034F"/>
    <w:multiLevelType w:val="multilevel"/>
    <w:tmpl w:val="E4A091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D34734"/>
    <w:multiLevelType w:val="hybridMultilevel"/>
    <w:tmpl w:val="97307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A5435A"/>
    <w:multiLevelType w:val="hybridMultilevel"/>
    <w:tmpl w:val="8DDE1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C51501"/>
    <w:multiLevelType w:val="hybridMultilevel"/>
    <w:tmpl w:val="06E6F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B96D3A"/>
    <w:multiLevelType w:val="hybridMultilevel"/>
    <w:tmpl w:val="135E4FF8"/>
    <w:lvl w:ilvl="0" w:tplc="D880573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4E2085"/>
    <w:multiLevelType w:val="multilevel"/>
    <w:tmpl w:val="B5CCFA3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7" w15:restartNumberingAfterBreak="0">
    <w:nsid w:val="7D6C63D0"/>
    <w:multiLevelType w:val="hybridMultilevel"/>
    <w:tmpl w:val="77B4A6B6"/>
    <w:lvl w:ilvl="0" w:tplc="5FDA931E">
      <w:start w:val="6369"/>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D8357CC"/>
    <w:multiLevelType w:val="hybridMultilevel"/>
    <w:tmpl w:val="5CB619F0"/>
    <w:lvl w:ilvl="0" w:tplc="B96ABD0E">
      <w:start w:val="1"/>
      <w:numFmt w:val="decimal"/>
      <w:lvlText w:val="%1."/>
      <w:lvlJc w:val="left"/>
      <w:pPr>
        <w:ind w:left="720" w:hanging="360"/>
      </w:pPr>
      <w:rPr>
        <w:rFonts w:hint="default"/>
      </w:rPr>
    </w:lvl>
    <w:lvl w:ilvl="1" w:tplc="21F4DB6C">
      <w:start w:val="1"/>
      <w:numFmt w:val="decimal"/>
      <w:lvlText w:val="7.%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97736215">
    <w:abstractNumId w:val="16"/>
  </w:num>
  <w:num w:numId="2" w16cid:durableId="1425685606">
    <w:abstractNumId w:val="23"/>
  </w:num>
  <w:num w:numId="3" w16cid:durableId="1578782485">
    <w:abstractNumId w:val="24"/>
  </w:num>
  <w:num w:numId="4" w16cid:durableId="435637270">
    <w:abstractNumId w:val="31"/>
  </w:num>
  <w:num w:numId="5" w16cid:durableId="764494143">
    <w:abstractNumId w:val="22"/>
  </w:num>
  <w:num w:numId="6" w16cid:durableId="1479953033">
    <w:abstractNumId w:val="36"/>
  </w:num>
  <w:num w:numId="7" w16cid:durableId="842085977">
    <w:abstractNumId w:val="18"/>
  </w:num>
  <w:num w:numId="8" w16cid:durableId="1008950738">
    <w:abstractNumId w:val="30"/>
  </w:num>
  <w:num w:numId="9" w16cid:durableId="1302880540">
    <w:abstractNumId w:val="6"/>
  </w:num>
  <w:num w:numId="10" w16cid:durableId="1704673501">
    <w:abstractNumId w:val="12"/>
  </w:num>
  <w:num w:numId="11" w16cid:durableId="1198271542">
    <w:abstractNumId w:val="25"/>
  </w:num>
  <w:num w:numId="12" w16cid:durableId="617025633">
    <w:abstractNumId w:val="0"/>
  </w:num>
  <w:num w:numId="13" w16cid:durableId="711612882">
    <w:abstractNumId w:val="21"/>
  </w:num>
  <w:num w:numId="14" w16cid:durableId="2136176461">
    <w:abstractNumId w:val="15"/>
  </w:num>
  <w:num w:numId="15" w16cid:durableId="1091514116">
    <w:abstractNumId w:val="13"/>
  </w:num>
  <w:num w:numId="16" w16cid:durableId="224417852">
    <w:abstractNumId w:val="20"/>
  </w:num>
  <w:num w:numId="17" w16cid:durableId="739836189">
    <w:abstractNumId w:val="1"/>
  </w:num>
  <w:num w:numId="18" w16cid:durableId="1629554112">
    <w:abstractNumId w:val="38"/>
  </w:num>
  <w:num w:numId="19" w16cid:durableId="835878589">
    <w:abstractNumId w:val="3"/>
  </w:num>
  <w:num w:numId="20" w16cid:durableId="973217790">
    <w:abstractNumId w:val="9"/>
  </w:num>
  <w:num w:numId="21" w16cid:durableId="1576431900">
    <w:abstractNumId w:val="35"/>
  </w:num>
  <w:num w:numId="22" w16cid:durableId="1467772300">
    <w:abstractNumId w:val="7"/>
  </w:num>
  <w:num w:numId="23" w16cid:durableId="1445229513">
    <w:abstractNumId w:val="26"/>
  </w:num>
  <w:num w:numId="24" w16cid:durableId="1643461573">
    <w:abstractNumId w:val="28"/>
  </w:num>
  <w:num w:numId="25" w16cid:durableId="226187066">
    <w:abstractNumId w:val="32"/>
  </w:num>
  <w:num w:numId="26" w16cid:durableId="1195535555">
    <w:abstractNumId w:val="5"/>
  </w:num>
  <w:num w:numId="27" w16cid:durableId="531723314">
    <w:abstractNumId w:val="4"/>
  </w:num>
  <w:num w:numId="28" w16cid:durableId="689330558">
    <w:abstractNumId w:val="19"/>
  </w:num>
  <w:num w:numId="29" w16cid:durableId="212543919">
    <w:abstractNumId w:val="29"/>
  </w:num>
  <w:num w:numId="30" w16cid:durableId="1019117542">
    <w:abstractNumId w:val="17"/>
  </w:num>
  <w:num w:numId="31" w16cid:durableId="513960735">
    <w:abstractNumId w:val="2"/>
  </w:num>
  <w:num w:numId="32" w16cid:durableId="1012685575">
    <w:abstractNumId w:val="8"/>
  </w:num>
  <w:num w:numId="33" w16cid:durableId="1285110777">
    <w:abstractNumId w:val="33"/>
  </w:num>
  <w:num w:numId="34" w16cid:durableId="812915809">
    <w:abstractNumId w:val="37"/>
  </w:num>
  <w:num w:numId="35" w16cid:durableId="370033853">
    <w:abstractNumId w:val="11"/>
  </w:num>
  <w:num w:numId="36" w16cid:durableId="1572278467">
    <w:abstractNumId w:val="10"/>
  </w:num>
  <w:num w:numId="37" w16cid:durableId="821313531">
    <w:abstractNumId w:val="14"/>
  </w:num>
  <w:num w:numId="38" w16cid:durableId="560018512">
    <w:abstractNumId w:val="34"/>
  </w:num>
  <w:num w:numId="39" w16cid:durableId="818020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79F"/>
    <w:rsid w:val="00032543"/>
    <w:rsid w:val="00044D37"/>
    <w:rsid w:val="00062B90"/>
    <w:rsid w:val="0007069A"/>
    <w:rsid w:val="00074448"/>
    <w:rsid w:val="00085AA9"/>
    <w:rsid w:val="00092AF9"/>
    <w:rsid w:val="00097D99"/>
    <w:rsid w:val="000E014B"/>
    <w:rsid w:val="000E0569"/>
    <w:rsid w:val="000F52FB"/>
    <w:rsid w:val="00134386"/>
    <w:rsid w:val="00141594"/>
    <w:rsid w:val="00160C1C"/>
    <w:rsid w:val="001628DB"/>
    <w:rsid w:val="001A6E63"/>
    <w:rsid w:val="001B0F18"/>
    <w:rsid w:val="001C0D30"/>
    <w:rsid w:val="001C3E5D"/>
    <w:rsid w:val="001C64A0"/>
    <w:rsid w:val="001C7FF3"/>
    <w:rsid w:val="00203B01"/>
    <w:rsid w:val="00205A48"/>
    <w:rsid w:val="002641A6"/>
    <w:rsid w:val="00276AAC"/>
    <w:rsid w:val="0028339A"/>
    <w:rsid w:val="002C06F4"/>
    <w:rsid w:val="002D6C0D"/>
    <w:rsid w:val="00346D82"/>
    <w:rsid w:val="00357A41"/>
    <w:rsid w:val="00384D80"/>
    <w:rsid w:val="003A67AF"/>
    <w:rsid w:val="004034A1"/>
    <w:rsid w:val="00412FF1"/>
    <w:rsid w:val="004507DF"/>
    <w:rsid w:val="00453E6C"/>
    <w:rsid w:val="00454AB9"/>
    <w:rsid w:val="00461510"/>
    <w:rsid w:val="00467D20"/>
    <w:rsid w:val="0048264D"/>
    <w:rsid w:val="004A02B8"/>
    <w:rsid w:val="004B06A9"/>
    <w:rsid w:val="004C07A3"/>
    <w:rsid w:val="004E49E6"/>
    <w:rsid w:val="004F64EC"/>
    <w:rsid w:val="005043EC"/>
    <w:rsid w:val="005249A1"/>
    <w:rsid w:val="00546589"/>
    <w:rsid w:val="005A50DA"/>
    <w:rsid w:val="005E3E72"/>
    <w:rsid w:val="005F0460"/>
    <w:rsid w:val="006239E3"/>
    <w:rsid w:val="006303CE"/>
    <w:rsid w:val="00640E09"/>
    <w:rsid w:val="00665349"/>
    <w:rsid w:val="00681CDB"/>
    <w:rsid w:val="006872FA"/>
    <w:rsid w:val="006B3FB7"/>
    <w:rsid w:val="006C4DC5"/>
    <w:rsid w:val="006D244B"/>
    <w:rsid w:val="007737DF"/>
    <w:rsid w:val="007B280F"/>
    <w:rsid w:val="007D3BF5"/>
    <w:rsid w:val="007E311D"/>
    <w:rsid w:val="007F6FCD"/>
    <w:rsid w:val="00805DC4"/>
    <w:rsid w:val="00823050"/>
    <w:rsid w:val="0082757E"/>
    <w:rsid w:val="0084514B"/>
    <w:rsid w:val="0088304F"/>
    <w:rsid w:val="008D19C2"/>
    <w:rsid w:val="008D30B5"/>
    <w:rsid w:val="008E71C2"/>
    <w:rsid w:val="00921EB0"/>
    <w:rsid w:val="00932B8E"/>
    <w:rsid w:val="00943F23"/>
    <w:rsid w:val="00946C32"/>
    <w:rsid w:val="009569C8"/>
    <w:rsid w:val="00966204"/>
    <w:rsid w:val="009B318A"/>
    <w:rsid w:val="009C7DD7"/>
    <w:rsid w:val="009D4B74"/>
    <w:rsid w:val="00A030AB"/>
    <w:rsid w:val="00A21762"/>
    <w:rsid w:val="00A309A5"/>
    <w:rsid w:val="00A371FD"/>
    <w:rsid w:val="00A42D39"/>
    <w:rsid w:val="00A60F2B"/>
    <w:rsid w:val="00A85ACA"/>
    <w:rsid w:val="00A933D7"/>
    <w:rsid w:val="00AB07D4"/>
    <w:rsid w:val="00AC32E1"/>
    <w:rsid w:val="00AC5DF5"/>
    <w:rsid w:val="00AD24EB"/>
    <w:rsid w:val="00AD4899"/>
    <w:rsid w:val="00AF5593"/>
    <w:rsid w:val="00B006F3"/>
    <w:rsid w:val="00B409A7"/>
    <w:rsid w:val="00B52538"/>
    <w:rsid w:val="00C0558D"/>
    <w:rsid w:val="00C5503D"/>
    <w:rsid w:val="00C65F36"/>
    <w:rsid w:val="00C76A9E"/>
    <w:rsid w:val="00C93104"/>
    <w:rsid w:val="00CA179F"/>
    <w:rsid w:val="00CD2DDC"/>
    <w:rsid w:val="00CD3A3F"/>
    <w:rsid w:val="00D46C34"/>
    <w:rsid w:val="00D9377F"/>
    <w:rsid w:val="00DA3E72"/>
    <w:rsid w:val="00DE42F6"/>
    <w:rsid w:val="00DE6A0E"/>
    <w:rsid w:val="00DF6CB4"/>
    <w:rsid w:val="00DF709E"/>
    <w:rsid w:val="00E02073"/>
    <w:rsid w:val="00E64CEC"/>
    <w:rsid w:val="00E824C6"/>
    <w:rsid w:val="00EA2EE8"/>
    <w:rsid w:val="00EA41B3"/>
    <w:rsid w:val="00EC51D4"/>
    <w:rsid w:val="00EF7978"/>
    <w:rsid w:val="00F13D0B"/>
    <w:rsid w:val="00F2581E"/>
    <w:rsid w:val="00F453BC"/>
    <w:rsid w:val="00F67AFB"/>
    <w:rsid w:val="00F7019B"/>
    <w:rsid w:val="00F8662F"/>
    <w:rsid w:val="00F93F6C"/>
    <w:rsid w:val="00FC0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F4ECE"/>
  <w15:docId w15:val="{AB0240B0-72EC-41D0-AD33-8C013CBB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594"/>
    <w:pPr>
      <w:spacing w:after="0"/>
    </w:pPr>
    <w:rPr>
      <w:rFonts w:ascii="Arial" w:hAnsi="Arial"/>
    </w:rPr>
  </w:style>
  <w:style w:type="paragraph" w:styleId="Heading1">
    <w:name w:val="heading 1"/>
    <w:basedOn w:val="Normal"/>
    <w:next w:val="Normal"/>
    <w:link w:val="Heading1Char"/>
    <w:qFormat/>
    <w:rsid w:val="005A50DA"/>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5A50DA"/>
    <w:pPr>
      <w:keepNext/>
      <w:keepLines/>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0D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50DA"/>
    <w:rPr>
      <w:rFonts w:asciiTheme="majorHAnsi" w:eastAsiaTheme="majorEastAsia" w:hAnsiTheme="majorHAnsi" w:cstheme="majorBidi"/>
      <w:b/>
      <w:bCs/>
      <w:sz w:val="26"/>
      <w:szCs w:val="26"/>
    </w:rPr>
  </w:style>
  <w:style w:type="table" w:styleId="TableGrid">
    <w:name w:val="Table Grid"/>
    <w:aliases w:val="ACI Table Grid"/>
    <w:basedOn w:val="TableNormal"/>
    <w:uiPriority w:val="59"/>
    <w:rsid w:val="007B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B280F"/>
    <w:pPr>
      <w:spacing w:after="0" w:line="240" w:lineRule="auto"/>
    </w:pPr>
    <w:rPr>
      <w:color w:val="91A7AC" w:themeColor="accent4" w:themeShade="BF"/>
    </w:rPr>
    <w:tblPr>
      <w:tblStyleRowBandSize w:val="1"/>
      <w:tblStyleColBandSize w:val="1"/>
      <w:tblBorders>
        <w:top w:val="single" w:sz="8" w:space="0" w:color="CED8DA" w:themeColor="accent4"/>
        <w:bottom w:val="single" w:sz="8" w:space="0" w:color="CED8DA" w:themeColor="accent4"/>
      </w:tblBorders>
    </w:tblPr>
    <w:tblStylePr w:type="fir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la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5F5" w:themeFill="accent4" w:themeFillTint="3F"/>
      </w:tcPr>
    </w:tblStylePr>
    <w:tblStylePr w:type="band1Horz">
      <w:tblPr/>
      <w:tcPr>
        <w:tcBorders>
          <w:left w:val="nil"/>
          <w:right w:val="nil"/>
          <w:insideH w:val="nil"/>
          <w:insideV w:val="nil"/>
        </w:tcBorders>
        <w:shd w:val="clear" w:color="auto" w:fill="F2F5F5" w:themeFill="accent4" w:themeFillTint="3F"/>
      </w:tcPr>
    </w:tblStylePr>
  </w:style>
  <w:style w:type="paragraph" w:styleId="Header">
    <w:name w:val="header"/>
    <w:basedOn w:val="Normal"/>
    <w:link w:val="HeaderChar"/>
    <w:uiPriority w:val="99"/>
    <w:unhideWhenUsed/>
    <w:rsid w:val="00AD24EB"/>
    <w:pPr>
      <w:tabs>
        <w:tab w:val="center" w:pos="4513"/>
        <w:tab w:val="right" w:pos="9026"/>
      </w:tabs>
      <w:spacing w:line="240" w:lineRule="auto"/>
    </w:pPr>
  </w:style>
  <w:style w:type="table" w:customStyle="1" w:styleId="ACITable">
    <w:name w:val="ACI_Table"/>
    <w:basedOn w:val="TableNormal"/>
    <w:uiPriority w:val="99"/>
    <w:rsid w:val="00357A41"/>
    <w:pPr>
      <w:spacing w:after="0" w:line="240" w:lineRule="auto"/>
    </w:pPr>
    <w:rPr>
      <w:rFonts w:ascii="Arial" w:eastAsiaTheme="minorHAnsi" w:hAnsi="Arial"/>
      <w:lang w:eastAsia="en-US"/>
    </w:rPr>
    <w:tblPr>
      <w:tblBorders>
        <w:top w:val="single" w:sz="4" w:space="0" w:color="CED8DA"/>
        <w:left w:val="single" w:sz="4" w:space="0" w:color="CED8DA"/>
        <w:bottom w:val="single" w:sz="4" w:space="0" w:color="CED8DA"/>
        <w:right w:val="single" w:sz="4" w:space="0" w:color="CED8DA"/>
        <w:insideH w:val="single" w:sz="4" w:space="0" w:color="CED8DA"/>
        <w:insideV w:val="single" w:sz="4" w:space="0" w:color="CED8DA"/>
      </w:tblBorders>
    </w:tblPr>
    <w:tcPr>
      <w:vAlign w:val="center"/>
    </w:tcPr>
    <w:tblStylePr w:type="firstRow">
      <w:pPr>
        <w:wordWrap/>
        <w:spacing w:beforeLines="0" w:before="0" w:beforeAutospacing="0" w:afterLines="0" w:after="120" w:afterAutospacing="0" w:line="276" w:lineRule="auto"/>
      </w:pPr>
      <w:rPr>
        <w:rFonts w:ascii="Arial" w:hAnsi="Arial"/>
        <w:sz w:val="22"/>
      </w:rPr>
      <w:tblPr/>
      <w:tcPr>
        <w:tcBorders>
          <w:top w:val="nil"/>
          <w:left w:val="nil"/>
          <w:bottom w:val="nil"/>
          <w:right w:val="nil"/>
          <w:insideH w:val="nil"/>
          <w:insideV w:val="single" w:sz="4" w:space="0" w:color="FFFFFF" w:themeColor="background1"/>
          <w:tl2br w:val="nil"/>
          <w:tr2bl w:val="nil"/>
        </w:tcBorders>
        <w:shd w:val="clear" w:color="auto" w:fill="CED8DA"/>
      </w:tcPr>
    </w:tblStylePr>
  </w:style>
  <w:style w:type="character" w:customStyle="1" w:styleId="HeaderChar">
    <w:name w:val="Header Char"/>
    <w:basedOn w:val="DefaultParagraphFont"/>
    <w:link w:val="Header"/>
    <w:uiPriority w:val="99"/>
    <w:rsid w:val="00AD24EB"/>
    <w:rPr>
      <w:rFonts w:ascii="Arial" w:hAnsi="Arial"/>
    </w:rPr>
  </w:style>
  <w:style w:type="paragraph" w:styleId="Footer">
    <w:name w:val="footer"/>
    <w:basedOn w:val="Normal"/>
    <w:link w:val="FooterChar"/>
    <w:uiPriority w:val="99"/>
    <w:unhideWhenUsed/>
    <w:rsid w:val="00AD24EB"/>
    <w:pPr>
      <w:tabs>
        <w:tab w:val="center" w:pos="4513"/>
        <w:tab w:val="right" w:pos="9026"/>
      </w:tabs>
      <w:spacing w:line="240" w:lineRule="auto"/>
    </w:pPr>
  </w:style>
  <w:style w:type="character" w:customStyle="1" w:styleId="FooterChar">
    <w:name w:val="Footer Char"/>
    <w:basedOn w:val="DefaultParagraphFont"/>
    <w:link w:val="Footer"/>
    <w:uiPriority w:val="99"/>
    <w:rsid w:val="00AD24EB"/>
    <w:rPr>
      <w:rFonts w:ascii="Arial" w:hAnsi="Arial"/>
    </w:rPr>
  </w:style>
  <w:style w:type="character" w:styleId="PageNumber">
    <w:name w:val="page number"/>
    <w:basedOn w:val="DefaultParagraphFont"/>
    <w:rsid w:val="00AD24EB"/>
    <w:rPr>
      <w:rFonts w:ascii="Arial" w:hAnsi="Arial"/>
      <w:b w:val="0"/>
      <w:color w:val="000000" w:themeColor="text1"/>
      <w:sz w:val="16"/>
    </w:rPr>
  </w:style>
  <w:style w:type="paragraph" w:customStyle="1" w:styleId="CoverTitle">
    <w:name w:val="Cover_Title"/>
    <w:basedOn w:val="Heading1"/>
    <w:rsid w:val="006B3FB7"/>
    <w:pPr>
      <w:keepLines w:val="0"/>
      <w:tabs>
        <w:tab w:val="right" w:pos="9923"/>
      </w:tabs>
      <w:adjustRightInd w:val="0"/>
      <w:snapToGrid w:val="0"/>
      <w:spacing w:line="240" w:lineRule="auto"/>
      <w:outlineLvl w:val="9"/>
    </w:pPr>
    <w:rPr>
      <w:rFonts w:eastAsia="MS Mincho" w:cs="Arial"/>
      <w:color w:val="FFFFFF" w:themeColor="background1"/>
      <w:sz w:val="60"/>
      <w:szCs w:val="24"/>
      <w:lang w:eastAsia="ja-JP"/>
    </w:rPr>
  </w:style>
  <w:style w:type="paragraph" w:styleId="ListParagraph">
    <w:name w:val="List Paragraph"/>
    <w:basedOn w:val="Normal"/>
    <w:uiPriority w:val="34"/>
    <w:qFormat/>
    <w:rsid w:val="001628DB"/>
    <w:pPr>
      <w:ind w:left="720"/>
      <w:contextualSpacing/>
    </w:pPr>
  </w:style>
  <w:style w:type="paragraph" w:customStyle="1" w:styleId="ACITableStyle">
    <w:name w:val="ACI_TableStyle"/>
    <w:basedOn w:val="Normal"/>
    <w:link w:val="ACITableStyleChar"/>
    <w:qFormat/>
    <w:rsid w:val="00C5503D"/>
    <w:rPr>
      <w:rFonts w:cs="Arial"/>
    </w:rPr>
  </w:style>
  <w:style w:type="character" w:customStyle="1" w:styleId="ACITableStyleChar">
    <w:name w:val="ACI_TableStyle Char"/>
    <w:basedOn w:val="DefaultParagraphFont"/>
    <w:link w:val="ACITableStyle"/>
    <w:rsid w:val="00C5503D"/>
    <w:rPr>
      <w:rFonts w:ascii="Arial" w:hAnsi="Arial" w:cs="Arial"/>
    </w:rPr>
  </w:style>
  <w:style w:type="paragraph" w:customStyle="1" w:styleId="MeetingNameStyle">
    <w:name w:val="Meeting Name Style"/>
    <w:basedOn w:val="Normal"/>
    <w:link w:val="MeetingNameStyleChar"/>
    <w:qFormat/>
    <w:rsid w:val="00141594"/>
    <w:pPr>
      <w:spacing w:after="120"/>
    </w:pPr>
    <w:rPr>
      <w:b/>
      <w:color w:val="006892" w:themeColor="accent1"/>
      <w:sz w:val="40"/>
      <w:szCs w:val="40"/>
    </w:rPr>
  </w:style>
  <w:style w:type="character" w:customStyle="1" w:styleId="MeetingNameStyleChar">
    <w:name w:val="Meeting Name Style Char"/>
    <w:basedOn w:val="DefaultParagraphFont"/>
    <w:link w:val="MeetingNameStyle"/>
    <w:rsid w:val="00141594"/>
    <w:rPr>
      <w:rFonts w:ascii="Arial" w:hAnsi="Arial"/>
      <w:b/>
      <w:color w:val="006892" w:themeColor="accent1"/>
      <w:sz w:val="40"/>
      <w:szCs w:val="40"/>
    </w:rPr>
  </w:style>
  <w:style w:type="paragraph" w:styleId="BodyText">
    <w:name w:val="Body Text"/>
    <w:basedOn w:val="Normal"/>
    <w:link w:val="BodyTextChar"/>
    <w:rsid w:val="00DE6A0E"/>
    <w:pPr>
      <w:adjustRightInd w:val="0"/>
      <w:snapToGrid w:val="0"/>
      <w:spacing w:before="120" w:after="120" w:line="288" w:lineRule="auto"/>
    </w:pPr>
    <w:rPr>
      <w:rFonts w:eastAsia="MS Mincho" w:cs="Times New Roman"/>
      <w:color w:val="000000"/>
      <w:szCs w:val="20"/>
      <w:lang w:eastAsia="ja-JP"/>
    </w:rPr>
  </w:style>
  <w:style w:type="character" w:customStyle="1" w:styleId="BodyTextChar">
    <w:name w:val="Body Text Char"/>
    <w:basedOn w:val="DefaultParagraphFont"/>
    <w:link w:val="BodyText"/>
    <w:rsid w:val="00DE6A0E"/>
    <w:rPr>
      <w:rFonts w:ascii="Arial" w:eastAsia="MS Mincho" w:hAnsi="Arial" w:cs="Times New Roman"/>
      <w:color w:val="000000"/>
      <w:szCs w:val="20"/>
      <w:lang w:eastAsia="ja-JP"/>
    </w:rPr>
  </w:style>
  <w:style w:type="paragraph" w:styleId="BalloonText">
    <w:name w:val="Balloon Text"/>
    <w:basedOn w:val="Normal"/>
    <w:link w:val="BalloonTextChar"/>
    <w:uiPriority w:val="99"/>
    <w:semiHidden/>
    <w:unhideWhenUsed/>
    <w:rsid w:val="00CA17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9F"/>
    <w:rPr>
      <w:rFonts w:ascii="Tahoma" w:hAnsi="Tahoma" w:cs="Tahoma"/>
      <w:sz w:val="16"/>
      <w:szCs w:val="16"/>
    </w:rPr>
  </w:style>
  <w:style w:type="paragraph" w:customStyle="1" w:styleId="Default">
    <w:name w:val="Default"/>
    <w:rsid w:val="0003254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Pa0">
    <w:name w:val="Pa0"/>
    <w:basedOn w:val="Default"/>
    <w:next w:val="Default"/>
    <w:uiPriority w:val="99"/>
    <w:rsid w:val="00032543"/>
    <w:pPr>
      <w:spacing w:line="241" w:lineRule="atLeast"/>
    </w:pPr>
    <w:rPr>
      <w:rFonts w:ascii="FJFFA W+ GE Inspira" w:hAnsi="FJFFA W+ GE Inspira" w:cstheme="minorBidi"/>
      <w:color w:val="auto"/>
    </w:rPr>
  </w:style>
  <w:style w:type="character" w:customStyle="1" w:styleId="A1">
    <w:name w:val="A1"/>
    <w:uiPriority w:val="99"/>
    <w:rsid w:val="00032543"/>
    <w:rPr>
      <w:rFonts w:cs="FJFFA W+ GE Inspira"/>
      <w:i/>
      <w:iCs/>
      <w:color w:val="000000"/>
      <w:sz w:val="14"/>
      <w:szCs w:val="14"/>
    </w:rPr>
  </w:style>
  <w:style w:type="character" w:styleId="Hyperlink">
    <w:name w:val="Hyperlink"/>
    <w:basedOn w:val="DefaultParagraphFont"/>
    <w:rsid w:val="00032543"/>
    <w:rPr>
      <w:color w:val="48535B" w:themeColor="text2"/>
      <w:u w:val="single"/>
    </w:rPr>
  </w:style>
  <w:style w:type="character" w:customStyle="1" w:styleId="A0">
    <w:name w:val="A0"/>
    <w:uiPriority w:val="99"/>
    <w:rsid w:val="00032543"/>
    <w:rPr>
      <w:rFonts w:cs="FJFFA W+ GE Inspira"/>
      <w:b/>
      <w:bCs/>
      <w:color w:val="000000"/>
      <w:sz w:val="16"/>
      <w:szCs w:val="16"/>
    </w:rPr>
  </w:style>
  <w:style w:type="paragraph" w:styleId="CommentText">
    <w:name w:val="annotation text"/>
    <w:basedOn w:val="Normal"/>
    <w:link w:val="CommentTextChar"/>
    <w:semiHidden/>
    <w:unhideWhenUsed/>
    <w:rsid w:val="00AC32E1"/>
    <w:pPr>
      <w:spacing w:before="120" w:line="240" w:lineRule="auto"/>
      <w:jc w:val="both"/>
    </w:pPr>
    <w:rPr>
      <w:sz w:val="20"/>
      <w:szCs w:val="20"/>
    </w:rPr>
  </w:style>
  <w:style w:type="character" w:customStyle="1" w:styleId="CommentTextChar">
    <w:name w:val="Comment Text Char"/>
    <w:basedOn w:val="DefaultParagraphFont"/>
    <w:link w:val="CommentText"/>
    <w:semiHidden/>
    <w:rsid w:val="00AC32E1"/>
    <w:rPr>
      <w:rFonts w:ascii="Arial" w:hAnsi="Arial"/>
      <w:sz w:val="20"/>
      <w:szCs w:val="20"/>
    </w:rPr>
  </w:style>
  <w:style w:type="character" w:styleId="HTMLCite">
    <w:name w:val="HTML Cite"/>
    <w:basedOn w:val="DefaultParagraphFont"/>
    <w:uiPriority w:val="99"/>
    <w:semiHidden/>
    <w:unhideWhenUsed/>
    <w:rsid w:val="00453E6C"/>
    <w:rPr>
      <w:i/>
      <w:iCs/>
    </w:rPr>
  </w:style>
  <w:style w:type="table" w:customStyle="1" w:styleId="TableGrid1">
    <w:name w:val="Table Grid1"/>
    <w:basedOn w:val="TableNormal"/>
    <w:next w:val="TableGrid"/>
    <w:uiPriority w:val="59"/>
    <w:rsid w:val="001C64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30AB"/>
    <w:rPr>
      <w:sz w:val="16"/>
      <w:szCs w:val="16"/>
    </w:rPr>
  </w:style>
  <w:style w:type="paragraph" w:styleId="CommentSubject">
    <w:name w:val="annotation subject"/>
    <w:basedOn w:val="CommentText"/>
    <w:next w:val="CommentText"/>
    <w:link w:val="CommentSubjectChar"/>
    <w:uiPriority w:val="99"/>
    <w:semiHidden/>
    <w:unhideWhenUsed/>
    <w:rsid w:val="00A030AB"/>
    <w:pPr>
      <w:spacing w:before="0"/>
      <w:jc w:val="left"/>
    </w:pPr>
    <w:rPr>
      <w:b/>
      <w:bCs/>
    </w:rPr>
  </w:style>
  <w:style w:type="character" w:customStyle="1" w:styleId="CommentSubjectChar">
    <w:name w:val="Comment Subject Char"/>
    <w:basedOn w:val="CommentTextChar"/>
    <w:link w:val="CommentSubject"/>
    <w:uiPriority w:val="99"/>
    <w:semiHidden/>
    <w:rsid w:val="00A030A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58938">
      <w:bodyDiv w:val="1"/>
      <w:marLeft w:val="0"/>
      <w:marRight w:val="0"/>
      <w:marTop w:val="0"/>
      <w:marBottom w:val="0"/>
      <w:divBdr>
        <w:top w:val="none" w:sz="0" w:space="0" w:color="auto"/>
        <w:left w:val="none" w:sz="0" w:space="0" w:color="auto"/>
        <w:bottom w:val="none" w:sz="0" w:space="0" w:color="auto"/>
        <w:right w:val="none" w:sz="0" w:space="0" w:color="auto"/>
      </w:divBdr>
    </w:div>
    <w:div w:id="1018586271">
      <w:bodyDiv w:val="1"/>
      <w:marLeft w:val="0"/>
      <w:marRight w:val="0"/>
      <w:marTop w:val="0"/>
      <w:marBottom w:val="0"/>
      <w:divBdr>
        <w:top w:val="none" w:sz="0" w:space="0" w:color="auto"/>
        <w:left w:val="none" w:sz="0" w:space="0" w:color="auto"/>
        <w:bottom w:val="none" w:sz="0" w:space="0" w:color="auto"/>
        <w:right w:val="none" w:sz="0" w:space="0" w:color="auto"/>
      </w:divBdr>
    </w:div>
    <w:div w:id="1360159346">
      <w:bodyDiv w:val="1"/>
      <w:marLeft w:val="0"/>
      <w:marRight w:val="0"/>
      <w:marTop w:val="0"/>
      <w:marBottom w:val="0"/>
      <w:divBdr>
        <w:top w:val="none" w:sz="0" w:space="0" w:color="auto"/>
        <w:left w:val="none" w:sz="0" w:space="0" w:color="auto"/>
        <w:bottom w:val="none" w:sz="0" w:space="0" w:color="auto"/>
        <w:right w:val="none" w:sz="0" w:space="0" w:color="auto"/>
      </w:divBdr>
    </w:div>
    <w:div w:id="1607155305">
      <w:bodyDiv w:val="1"/>
      <w:marLeft w:val="0"/>
      <w:marRight w:val="0"/>
      <w:marTop w:val="0"/>
      <w:marBottom w:val="0"/>
      <w:divBdr>
        <w:top w:val="none" w:sz="0" w:space="0" w:color="auto"/>
        <w:left w:val="none" w:sz="0" w:space="0" w:color="auto"/>
        <w:bottom w:val="none" w:sz="0" w:space="0" w:color="auto"/>
        <w:right w:val="none" w:sz="0" w:space="0" w:color="auto"/>
      </w:divBdr>
    </w:div>
    <w:div w:id="18723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swtag.org.au/practical-guidanc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e.org.uk/guidance/cg169/evid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wtag.org.au/practical-guidance/" TargetMode="External"/><Relationship Id="rId5" Type="http://schemas.openxmlformats.org/officeDocument/2006/relationships/webSettings" Target="webSettings.xml"/><Relationship Id="rId15" Type="http://schemas.openxmlformats.org/officeDocument/2006/relationships/hyperlink" Target="http://www.nice.org.uk/guidance/cg169/evidenc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3.gehealthcare.com/~/media/documents/us-global/products/contrast-media_non-gatekeeper/clinical-product-information/omnipaque/gehealthcare_omnipaque-bulk-pack-prescribing-information_032012.pdf?Parent=%7B21C1FA0B-7909-4C09-90C6-0FD83A4D7E61%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E4BFB7934D4CEFB14F43C349B6BDC7"/>
        <w:category>
          <w:name w:val="General"/>
          <w:gallery w:val="placeholder"/>
        </w:category>
        <w:types>
          <w:type w:val="bbPlcHdr"/>
        </w:types>
        <w:behaviors>
          <w:behavior w:val="content"/>
        </w:behaviors>
        <w:guid w:val="{2D90BC3C-9FF6-456C-B44A-C6B03260A881}"/>
      </w:docPartPr>
      <w:docPartBody>
        <w:p w:rsidR="00452112" w:rsidRDefault="00452112" w:rsidP="00452112">
          <w:pPr>
            <w:pStyle w:val="8EE4BFB7934D4CEFB14F43C349B6BDC7"/>
          </w:pPr>
          <w:r w:rsidRPr="002B0EE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JFFA W+ GE Inspira">
    <w:altName w:val="GE Inspir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112"/>
    <w:rsid w:val="000A2252"/>
    <w:rsid w:val="002F6709"/>
    <w:rsid w:val="00355778"/>
    <w:rsid w:val="00375203"/>
    <w:rsid w:val="003C6A6E"/>
    <w:rsid w:val="004454E2"/>
    <w:rsid w:val="00452112"/>
    <w:rsid w:val="00530C7B"/>
    <w:rsid w:val="00771FB6"/>
    <w:rsid w:val="009E0C0F"/>
    <w:rsid w:val="00A97926"/>
    <w:rsid w:val="00C57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112"/>
    <w:rPr>
      <w:color w:val="808080"/>
    </w:rPr>
  </w:style>
  <w:style w:type="paragraph" w:customStyle="1" w:styleId="8EE4BFB7934D4CEFB14F43C349B6BDC7">
    <w:name w:val="8EE4BFB7934D4CEFB14F43C349B6BDC7"/>
    <w:rsid w:val="00452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I Custom Colours">
      <a:dk1>
        <a:srgbClr val="000000"/>
      </a:dk1>
      <a:lt1>
        <a:srgbClr val="FFFFFF"/>
      </a:lt1>
      <a:dk2>
        <a:srgbClr val="48535B"/>
      </a:dk2>
      <a:lt2>
        <a:srgbClr val="CED8DA"/>
      </a:lt2>
      <a:accent1>
        <a:srgbClr val="006892"/>
      </a:accent1>
      <a:accent2>
        <a:srgbClr val="0082AA"/>
      </a:accent2>
      <a:accent3>
        <a:srgbClr val="5AA3C4"/>
      </a:accent3>
      <a:accent4>
        <a:srgbClr val="CED8DA"/>
      </a:accent4>
      <a:accent5>
        <a:srgbClr val="4CBABF"/>
      </a:accent5>
      <a:accent6>
        <a:srgbClr val="FCAF1D"/>
      </a:accent6>
      <a:hlink>
        <a:srgbClr val="0082AA"/>
      </a:hlink>
      <a:folHlink>
        <a:srgbClr val="B2AA8B"/>
      </a:folHlink>
    </a:clrScheme>
    <a:fontScheme name="ACI_Custom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E73C-7ED3-4277-8DC3-61E06F84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3403</Words>
  <Characters>21542</Characters>
  <Application>Microsoft Office Word</Application>
  <DocSecurity>0</DocSecurity>
  <Lines>566</Lines>
  <Paragraphs>259</Paragraphs>
  <ScaleCrop>false</ScaleCrop>
  <HeadingPairs>
    <vt:vector size="2" baseType="variant">
      <vt:variant>
        <vt:lpstr>Title</vt:lpstr>
      </vt:variant>
      <vt:variant>
        <vt:i4>1</vt:i4>
      </vt:variant>
    </vt:vector>
  </HeadingPairs>
  <TitlesOfParts>
    <vt:vector size="1" baseType="lpstr">
      <vt:lpstr>Template: Medication Standing Order</vt:lpstr>
    </vt:vector>
  </TitlesOfParts>
  <Company>Toshiba</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Medication Standing Order - CT IV Contrast Media</dc:title>
  <dc:creator>NSW Agency for Clinical Innovation</dc:creator>
  <cp:lastModifiedBy>Bronwyn Potter (Agency for Clinical Innovation)</cp:lastModifiedBy>
  <cp:revision>4</cp:revision>
  <cp:lastPrinted>2020-01-24T04:21:00Z</cp:lastPrinted>
  <dcterms:created xsi:type="dcterms:W3CDTF">2022-10-26T04:42:00Z</dcterms:created>
  <dcterms:modified xsi:type="dcterms:W3CDTF">2024-04-17T04:44:00Z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014B-A1A1-DB89-5D63</vt:lpwstr>
  </property>
</Properties>
</file>