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712" w:type="dxa"/>
        <w:tblLayout w:type="fixed"/>
        <w:tblLook w:val="01E0" w:firstRow="1" w:lastRow="1" w:firstColumn="1" w:lastColumn="1" w:noHBand="0" w:noVBand="0"/>
      </w:tblPr>
      <w:tblGrid>
        <w:gridCol w:w="4484"/>
        <w:gridCol w:w="6228"/>
      </w:tblGrid>
      <w:tr w:rsidR="00C75A4C">
        <w:tc>
          <w:tcPr>
            <w:tcW w:w="4484" w:type="dxa"/>
          </w:tcPr>
          <w:p w:rsidR="00C75A4C" w:rsidRPr="00240069" w:rsidRDefault="00C75A4C" w:rsidP="00C75A4C">
            <w:pPr>
              <w:spacing w:before="40"/>
              <w:rPr>
                <w:b/>
                <w:color w:val="000000"/>
              </w:rPr>
            </w:pPr>
            <w:bookmarkStart w:id="0" w:name="_GoBack"/>
            <w:bookmarkEnd w:id="0"/>
            <w:r w:rsidRPr="00240069">
              <w:rPr>
                <w:b/>
                <w:color w:val="000000"/>
              </w:rPr>
              <w:t xml:space="preserve">NAME OF DOCUMENT                               </w:t>
            </w:r>
          </w:p>
          <w:p w:rsidR="00C75A4C" w:rsidRPr="00240069" w:rsidRDefault="00C75A4C" w:rsidP="00C75A4C">
            <w:pPr>
              <w:spacing w:before="40"/>
              <w:rPr>
                <w:b/>
                <w:color w:val="000000"/>
              </w:rPr>
            </w:pP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  <w:sz w:val="28"/>
              </w:rPr>
              <w:t>Collection of peritoneal dialysis fluid sample for cell count and culture</w:t>
            </w:r>
          </w:p>
        </w:tc>
      </w:tr>
      <w:tr w:rsidR="00C75A4C">
        <w:tc>
          <w:tcPr>
            <w:tcW w:w="4484" w:type="dxa"/>
          </w:tcPr>
          <w:p w:rsidR="00C75A4C" w:rsidRPr="00240069" w:rsidRDefault="00C75A4C" w:rsidP="00C75A4C">
            <w:pPr>
              <w:spacing w:before="40"/>
              <w:rPr>
                <w:b/>
                <w:color w:val="000000"/>
              </w:rPr>
            </w:pPr>
            <w:r w:rsidRPr="00240069">
              <w:rPr>
                <w:b/>
                <w:color w:val="000000"/>
              </w:rPr>
              <w:t>TYPE OF DOCUMENT</w:t>
            </w:r>
          </w:p>
          <w:p w:rsidR="00C75A4C" w:rsidRPr="00240069" w:rsidRDefault="00C75A4C" w:rsidP="00C75A4C">
            <w:pPr>
              <w:spacing w:before="40"/>
              <w:rPr>
                <w:b/>
                <w:color w:val="000000"/>
              </w:rPr>
            </w:pPr>
          </w:p>
        </w:tc>
        <w:tc>
          <w:tcPr>
            <w:tcW w:w="6228" w:type="dxa"/>
          </w:tcPr>
          <w:p w:rsidR="00C75A4C" w:rsidRDefault="001456BC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Clinical Business Rule</w:t>
            </w:r>
            <w:r w:rsidR="00C75A4C">
              <w:rPr>
                <w:b/>
              </w:rPr>
              <w:t xml:space="preserve"> </w:t>
            </w:r>
          </w:p>
        </w:tc>
      </w:tr>
      <w:tr w:rsidR="00C75A4C">
        <w:tc>
          <w:tcPr>
            <w:tcW w:w="4484" w:type="dxa"/>
          </w:tcPr>
          <w:p w:rsidR="00CA723D" w:rsidRPr="00240069" w:rsidRDefault="00CA723D" w:rsidP="00C75A4C">
            <w:pPr>
              <w:spacing w:before="40"/>
              <w:rPr>
                <w:b/>
                <w:color w:val="000000"/>
              </w:rPr>
            </w:pPr>
            <w:r w:rsidRPr="00240069" w:rsidDel="00CA723D">
              <w:rPr>
                <w:b/>
                <w:color w:val="000000"/>
              </w:rPr>
              <w:t xml:space="preserve"> </w:t>
            </w:r>
            <w:r w:rsidRPr="00240069">
              <w:rPr>
                <w:b/>
                <w:color w:val="000000"/>
              </w:rPr>
              <w:t>FUNCTIONAL GROUP</w:t>
            </w:r>
            <w:r w:rsidR="00890CD4" w:rsidRPr="00240069">
              <w:rPr>
                <w:b/>
                <w:color w:val="000000"/>
              </w:rPr>
              <w:t>/</w:t>
            </w:r>
            <w:r w:rsidRPr="00240069">
              <w:rPr>
                <w:b/>
                <w:color w:val="000000"/>
              </w:rPr>
              <w:t>SUBGROUP</w:t>
            </w:r>
          </w:p>
          <w:p w:rsidR="00C75A4C" w:rsidRPr="00B56356" w:rsidRDefault="00C75A4C" w:rsidP="00C75A4C">
            <w:pPr>
              <w:spacing w:before="40"/>
              <w:rPr>
                <w:i/>
                <w:color w:val="4A442A"/>
              </w:rPr>
            </w:pPr>
            <w:r w:rsidRPr="00B56356">
              <w:rPr>
                <w:i/>
                <w:color w:val="4A442A"/>
              </w:rPr>
              <w:t>(e</w:t>
            </w:r>
            <w:r w:rsidR="00890CD4" w:rsidRPr="00B56356">
              <w:rPr>
                <w:i/>
                <w:color w:val="4A442A"/>
              </w:rPr>
              <w:t>.</w:t>
            </w:r>
            <w:r w:rsidRPr="00B56356">
              <w:rPr>
                <w:i/>
                <w:color w:val="4A442A"/>
              </w:rPr>
              <w:t xml:space="preserve">g. Clinical </w:t>
            </w:r>
            <w:r w:rsidR="00CA723D" w:rsidRPr="00B56356">
              <w:rPr>
                <w:i/>
                <w:color w:val="4A442A"/>
              </w:rPr>
              <w:t>Patient Services</w:t>
            </w:r>
            <w:r w:rsidR="00890CD4" w:rsidRPr="00B56356">
              <w:rPr>
                <w:i/>
                <w:color w:val="4A442A"/>
              </w:rPr>
              <w:t>/ Admission and Discharge</w:t>
            </w:r>
            <w:r w:rsidRPr="00B56356">
              <w:rPr>
                <w:i/>
                <w:color w:val="4A442A"/>
              </w:rPr>
              <w:t>)</w:t>
            </w:r>
          </w:p>
          <w:p w:rsidR="00C75A4C" w:rsidRPr="00240069" w:rsidRDefault="00C75A4C" w:rsidP="00C75A4C">
            <w:pPr>
              <w:spacing w:before="40"/>
              <w:rPr>
                <w:b/>
                <w:color w:val="000000"/>
              </w:rPr>
            </w:pPr>
          </w:p>
        </w:tc>
        <w:tc>
          <w:tcPr>
            <w:tcW w:w="6228" w:type="dxa"/>
          </w:tcPr>
          <w:p w:rsidR="00C75A4C" w:rsidRDefault="00C75A4C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</w:p>
        </w:tc>
      </w:tr>
      <w:tr w:rsidR="00C75A4C"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>DATE OF PUBLICATION</w:t>
            </w:r>
          </w:p>
          <w:p w:rsidR="00C75A4C" w:rsidRDefault="00C75A4C" w:rsidP="00C75A4C">
            <w:pPr>
              <w:spacing w:before="40"/>
              <w:rPr>
                <w:b/>
              </w:rPr>
            </w:pP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27/8/13</w:t>
            </w:r>
          </w:p>
        </w:tc>
      </w:tr>
      <w:tr w:rsidR="00C75A4C"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RISK RATING </w:t>
            </w:r>
          </w:p>
          <w:p w:rsidR="00C75A4C" w:rsidRDefault="00C75A4C" w:rsidP="00C75A4C">
            <w:pPr>
              <w:spacing w:before="40"/>
              <w:rPr>
                <w:b/>
              </w:rPr>
            </w:pP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Medium</w:t>
            </w:r>
          </w:p>
        </w:tc>
      </w:tr>
      <w:tr w:rsidR="00C75A4C"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>REVIEW DATE</w:t>
            </w:r>
          </w:p>
          <w:p w:rsidR="00C75A4C" w:rsidRDefault="00C75A4C" w:rsidP="00C75A4C">
            <w:pPr>
              <w:spacing w:before="40"/>
              <w:rPr>
                <w:b/>
              </w:rPr>
            </w:pP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27/8/16</w:t>
            </w:r>
          </w:p>
        </w:tc>
      </w:tr>
      <w:tr w:rsidR="00C75A4C"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>FORMER REFERENCE(S)</w:t>
            </w:r>
          </w:p>
          <w:p w:rsidR="00C75A4C" w:rsidRDefault="00C75A4C" w:rsidP="00C75A4C">
            <w:pPr>
              <w:spacing w:before="40"/>
              <w:rPr>
                <w:b/>
              </w:rPr>
            </w:pPr>
          </w:p>
        </w:tc>
        <w:tc>
          <w:tcPr>
            <w:tcW w:w="6228" w:type="dxa"/>
          </w:tcPr>
          <w:p w:rsidR="00C75A4C" w:rsidRDefault="00C75A4C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</w:p>
        </w:tc>
      </w:tr>
      <w:tr w:rsidR="00C75A4C">
        <w:trPr>
          <w:trHeight w:val="1259"/>
        </w:trPr>
        <w:tc>
          <w:tcPr>
            <w:tcW w:w="4484" w:type="dxa"/>
          </w:tcPr>
          <w:p w:rsidR="00493050" w:rsidRDefault="00493050" w:rsidP="00C75A4C">
            <w:pPr>
              <w:spacing w:before="40"/>
              <w:rPr>
                <w:b/>
              </w:rPr>
            </w:pPr>
          </w:p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EXECUTIVE SPONSOR or </w:t>
            </w:r>
          </w:p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>EXECUTIVE CLINICAL SPONSOR</w:t>
            </w:r>
          </w:p>
        </w:tc>
        <w:tc>
          <w:tcPr>
            <w:tcW w:w="6228" w:type="dxa"/>
          </w:tcPr>
          <w:p w:rsidR="00C75A4C" w:rsidRDefault="00C75A4C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</w:p>
        </w:tc>
      </w:tr>
      <w:tr w:rsidR="00C75A4C">
        <w:trPr>
          <w:trHeight w:val="1259"/>
        </w:trPr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Renal CNC</w:t>
            </w:r>
          </w:p>
        </w:tc>
      </w:tr>
      <w:tr w:rsidR="00C75A4C">
        <w:trPr>
          <w:trHeight w:val="1259"/>
        </w:trPr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KEY TERMS </w:t>
            </w:r>
          </w:p>
          <w:p w:rsidR="00C75A4C" w:rsidRDefault="00C75A4C" w:rsidP="00C75A4C">
            <w:pPr>
              <w:spacing w:before="40"/>
              <w:rPr>
                <w:b/>
              </w:rPr>
            </w:pP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Peritoneal dialysis</w:t>
            </w:r>
          </w:p>
          <w:p w:rsidR="00B92C66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PD effluent</w:t>
            </w:r>
          </w:p>
        </w:tc>
      </w:tr>
      <w:tr w:rsidR="00C75A4C">
        <w:tc>
          <w:tcPr>
            <w:tcW w:w="4484" w:type="dxa"/>
          </w:tcPr>
          <w:p w:rsidR="00C75A4C" w:rsidRDefault="00C75A4C" w:rsidP="00C75A4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SUMMARY                                        </w:t>
            </w:r>
          </w:p>
        </w:tc>
        <w:tc>
          <w:tcPr>
            <w:tcW w:w="6228" w:type="dxa"/>
          </w:tcPr>
          <w:p w:rsidR="00C75A4C" w:rsidRDefault="00B92C66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  <w:r>
              <w:rPr>
                <w:b/>
              </w:rPr>
              <w:t>Describes the process for the collection of PD fluid samples to obtain a cell count and culture</w:t>
            </w:r>
          </w:p>
          <w:p w:rsidR="00C75A4C" w:rsidRDefault="00C75A4C" w:rsidP="00C75A4C">
            <w:pPr>
              <w:tabs>
                <w:tab w:val="clear" w:pos="2400"/>
                <w:tab w:val="clear" w:pos="4500"/>
              </w:tabs>
              <w:spacing w:before="40"/>
              <w:rPr>
                <w:b/>
              </w:rPr>
            </w:pPr>
          </w:p>
        </w:tc>
      </w:tr>
    </w:tbl>
    <w:p w:rsidR="00FC1327" w:rsidRDefault="00FC1327">
      <w:pPr>
        <w:pStyle w:val="Heading1"/>
        <w:tabs>
          <w:tab w:val="left" w:pos="540"/>
        </w:tabs>
        <w:sectPr w:rsidR="00FC1327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3235" w:right="746" w:bottom="1618" w:left="900" w:header="397" w:footer="284" w:gutter="0"/>
          <w:cols w:space="708"/>
          <w:docGrid w:linePitch="360"/>
        </w:sectPr>
      </w:pPr>
    </w:p>
    <w:p w:rsidR="0021049D" w:rsidRDefault="0021049D" w:rsidP="0021049D">
      <w:pPr>
        <w:tabs>
          <w:tab w:val="clear" w:pos="4500"/>
        </w:tabs>
      </w:pPr>
    </w:p>
    <w:p w:rsidR="0021049D" w:rsidRDefault="0021049D" w:rsidP="0021049D">
      <w:pPr>
        <w:pStyle w:val="Heading1"/>
        <w:tabs>
          <w:tab w:val="left" w:pos="700"/>
        </w:tabs>
      </w:pPr>
      <w:r>
        <w:t>1.</w:t>
      </w:r>
      <w:r>
        <w:tab/>
        <w:t>PURPOSE &amp; SCOPE</w:t>
      </w:r>
    </w:p>
    <w:p w:rsidR="001407FC" w:rsidRDefault="001407FC" w:rsidP="0021049D">
      <w:pPr>
        <w:tabs>
          <w:tab w:val="clear" w:pos="2400"/>
          <w:tab w:val="clear" w:pos="4500"/>
        </w:tabs>
        <w:ind w:left="700"/>
      </w:pPr>
      <w:r>
        <w:t>The purpose of this policy is to outline:</w:t>
      </w:r>
    </w:p>
    <w:p w:rsidR="0021049D" w:rsidRDefault="001407FC" w:rsidP="00DF33F0">
      <w:pPr>
        <w:numPr>
          <w:ilvl w:val="0"/>
          <w:numId w:val="1"/>
        </w:numPr>
        <w:tabs>
          <w:tab w:val="clear" w:pos="2400"/>
          <w:tab w:val="clear" w:pos="4500"/>
        </w:tabs>
      </w:pPr>
      <w:r>
        <w:t>The correct procedure for the collection of peritoneal dialysis fluid samples to obtain a white cell count and culture.</w:t>
      </w:r>
    </w:p>
    <w:p w:rsidR="001407FC" w:rsidRDefault="001407FC" w:rsidP="00DF33F0">
      <w:pPr>
        <w:numPr>
          <w:ilvl w:val="0"/>
          <w:numId w:val="1"/>
        </w:numPr>
        <w:tabs>
          <w:tab w:val="clear" w:pos="2400"/>
          <w:tab w:val="clear" w:pos="4500"/>
        </w:tabs>
      </w:pPr>
      <w:r>
        <w:t>The circumstances under which a PD sample should be collected</w:t>
      </w:r>
    </w:p>
    <w:p w:rsidR="001407FC" w:rsidRDefault="001407FC" w:rsidP="001407FC">
      <w:pPr>
        <w:tabs>
          <w:tab w:val="clear" w:pos="2400"/>
          <w:tab w:val="clear" w:pos="4500"/>
        </w:tabs>
      </w:pPr>
    </w:p>
    <w:p w:rsidR="001407FC" w:rsidRDefault="001407FC" w:rsidP="001407FC">
      <w:pPr>
        <w:tabs>
          <w:tab w:val="clear" w:pos="2400"/>
          <w:tab w:val="clear" w:pos="4500"/>
        </w:tabs>
      </w:pPr>
      <w:r>
        <w:t>This is an extended skill and must only be performed by nurses assessed as competent</w:t>
      </w:r>
    </w:p>
    <w:p w:rsidR="0021049D" w:rsidRDefault="0021049D" w:rsidP="0021049D">
      <w:pPr>
        <w:pStyle w:val="Heading1"/>
        <w:tabs>
          <w:tab w:val="left" w:pos="700"/>
        </w:tabs>
      </w:pPr>
      <w:r>
        <w:t>2.</w:t>
      </w:r>
      <w:r>
        <w:tab/>
        <w:t>RESPONSIBILITIES</w:t>
      </w:r>
    </w:p>
    <w:p w:rsidR="001407FC" w:rsidRDefault="001407FC" w:rsidP="001407FC"/>
    <w:p w:rsidR="001407FC" w:rsidRDefault="001407FC" w:rsidP="001407FC">
      <w:r>
        <w:t>Registered nurses</w:t>
      </w:r>
    </w:p>
    <w:p w:rsidR="001407FC" w:rsidRDefault="001407FC" w:rsidP="001407FC">
      <w:r>
        <w:t>Enrolled nurses</w:t>
      </w:r>
    </w:p>
    <w:p w:rsidR="001407FC" w:rsidRPr="001407FC" w:rsidRDefault="001407FC" w:rsidP="001407FC">
      <w:r>
        <w:t>Medical officers</w:t>
      </w:r>
    </w:p>
    <w:p w:rsidR="0021049D" w:rsidRDefault="0021049D" w:rsidP="0021049D">
      <w:pPr>
        <w:tabs>
          <w:tab w:val="clear" w:pos="2400"/>
          <w:tab w:val="clear" w:pos="4500"/>
        </w:tabs>
        <w:ind w:left="720"/>
      </w:pPr>
    </w:p>
    <w:p w:rsidR="0021049D" w:rsidRPr="00240069" w:rsidRDefault="00E51045" w:rsidP="0021049D">
      <w:pPr>
        <w:pStyle w:val="Heading1"/>
        <w:tabs>
          <w:tab w:val="left" w:pos="686"/>
        </w:tabs>
        <w:rPr>
          <w:color w:val="000000"/>
        </w:rPr>
      </w:pPr>
      <w:r>
        <w:rPr>
          <w:color w:val="000000"/>
        </w:rPr>
        <w:t>3</w:t>
      </w:r>
      <w:r w:rsidR="0021049D" w:rsidRPr="00240069">
        <w:rPr>
          <w:color w:val="000000"/>
        </w:rPr>
        <w:t>.</w:t>
      </w:r>
      <w:r w:rsidR="0021049D" w:rsidRPr="00240069">
        <w:rPr>
          <w:color w:val="000000"/>
        </w:rPr>
        <w:tab/>
        <w:t>DEFINITIONS</w:t>
      </w:r>
    </w:p>
    <w:p w:rsidR="000378E4" w:rsidRPr="000378E4" w:rsidRDefault="000378E4" w:rsidP="000378E4">
      <w:pPr>
        <w:pStyle w:val="Heading3"/>
        <w:rPr>
          <w:sz w:val="20"/>
          <w:szCs w:val="20"/>
        </w:rPr>
      </w:pPr>
      <w:r>
        <w:rPr>
          <w:sz w:val="20"/>
          <w:szCs w:val="20"/>
        </w:rPr>
        <w:tab/>
      </w:r>
      <w:r w:rsidRPr="000378E4">
        <w:rPr>
          <w:sz w:val="20"/>
          <w:szCs w:val="20"/>
        </w:rPr>
        <w:t>Definition of NHMRC grades of recommendations</w:t>
      </w: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378E4" w:rsidRPr="00D3384E" w:rsidTr="00037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>Grade of</w:t>
            </w:r>
          </w:p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 xml:space="preserve"> Recommendation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>Description</w:t>
            </w:r>
          </w:p>
        </w:tc>
      </w:tr>
      <w:tr w:rsidR="000378E4" w:rsidRPr="00D3384E" w:rsidTr="000378E4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0378E4">
              <w:rPr>
                <w:rFonts w:cs="Arial"/>
                <w:sz w:val="20"/>
                <w:szCs w:val="20"/>
              </w:rPr>
              <w:t>Body of evidence can be trusted to guide practice</w:t>
            </w:r>
          </w:p>
        </w:tc>
      </w:tr>
      <w:tr w:rsidR="000378E4" w:rsidRPr="00D3384E" w:rsidTr="000378E4">
        <w:trPr>
          <w:trHeight w:val="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0378E4">
              <w:rPr>
                <w:rFonts w:cs="Arial"/>
                <w:sz w:val="20"/>
                <w:szCs w:val="20"/>
              </w:rPr>
              <w:t>Body of evidence can be trusted to guide practice in most situations</w:t>
            </w:r>
          </w:p>
        </w:tc>
      </w:tr>
      <w:tr w:rsidR="000378E4" w:rsidRPr="00D3384E" w:rsidTr="00037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>C</w:t>
            </w:r>
          </w:p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0378E4">
              <w:rPr>
                <w:rFonts w:cs="Arial"/>
                <w:sz w:val="20"/>
                <w:szCs w:val="20"/>
              </w:rPr>
              <w:t>Body of evidence provides some support for recommendation(s) but care should be taken in its application</w:t>
            </w:r>
          </w:p>
        </w:tc>
      </w:tr>
      <w:tr w:rsidR="000378E4" w:rsidRPr="00D3384E" w:rsidTr="000378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378E4">
              <w:rPr>
                <w:rFonts w:cs="Arial"/>
                <w:b/>
                <w:sz w:val="20"/>
                <w:szCs w:val="20"/>
              </w:rPr>
              <w:t>D</w:t>
            </w:r>
          </w:p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E4" w:rsidRPr="000378E4" w:rsidRDefault="000378E4" w:rsidP="000378E4">
            <w:pPr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0378E4">
              <w:rPr>
                <w:rFonts w:cs="Arial"/>
                <w:sz w:val="20"/>
                <w:szCs w:val="20"/>
              </w:rPr>
              <w:t>Body of evidence is weak and recommendation must be applied with caution</w:t>
            </w:r>
          </w:p>
        </w:tc>
      </w:tr>
    </w:tbl>
    <w:p w:rsidR="00B92C66" w:rsidRDefault="00B92C66" w:rsidP="00B92C66">
      <w:pPr>
        <w:ind w:left="720"/>
        <w:rPr>
          <w:b/>
        </w:rPr>
      </w:pPr>
    </w:p>
    <w:p w:rsidR="00B92C66" w:rsidRDefault="00B92C66" w:rsidP="00B92C66">
      <w:pPr>
        <w:ind w:left="720"/>
      </w:pPr>
      <w:proofErr w:type="gramStart"/>
      <w:r w:rsidRPr="00551EB0">
        <w:rPr>
          <w:b/>
        </w:rPr>
        <w:t>Peritoneal dialysis</w:t>
      </w:r>
      <w:r>
        <w:rPr>
          <w:b/>
        </w:rPr>
        <w:t xml:space="preserve"> (PD)</w:t>
      </w:r>
      <w:r>
        <w:t xml:space="preserve"> – A treatment option for patients with stage 5 chronic kidney disease which uses the peritoneum as a semipermeable membrane to remove excess toxins and fluid from the patient’s blood.</w:t>
      </w:r>
      <w:proofErr w:type="gramEnd"/>
    </w:p>
    <w:p w:rsidR="00B92C66" w:rsidRDefault="00B92C66" w:rsidP="00B92C66">
      <w:pPr>
        <w:ind w:left="720"/>
      </w:pPr>
    </w:p>
    <w:p w:rsidR="00B92C66" w:rsidRDefault="00B92C66" w:rsidP="00B92C66">
      <w:pPr>
        <w:ind w:left="720"/>
      </w:pPr>
      <w:r w:rsidRPr="00B92C66">
        <w:rPr>
          <w:b/>
        </w:rPr>
        <w:t>CAPD:</w:t>
      </w:r>
      <w:r>
        <w:t xml:space="preserve"> Continuous ambulatory peritoneal dialysis</w:t>
      </w:r>
    </w:p>
    <w:p w:rsidR="000378E4" w:rsidRPr="00D7108B" w:rsidRDefault="000378E4" w:rsidP="00B92C66">
      <w:pPr>
        <w:tabs>
          <w:tab w:val="left" w:pos="709"/>
        </w:tabs>
        <w:rPr>
          <w:color w:val="808080"/>
        </w:rPr>
      </w:pPr>
      <w:r>
        <w:rPr>
          <w:color w:val="000000"/>
        </w:rPr>
        <w:tab/>
      </w:r>
    </w:p>
    <w:p w:rsidR="000378E4" w:rsidRPr="00240069" w:rsidRDefault="000378E4" w:rsidP="000378E4">
      <w:pPr>
        <w:tabs>
          <w:tab w:val="left" w:pos="709"/>
        </w:tabs>
        <w:rPr>
          <w:color w:val="000000"/>
        </w:rPr>
      </w:pPr>
    </w:p>
    <w:p w:rsidR="00A86301" w:rsidRPr="00240069" w:rsidRDefault="00E51045" w:rsidP="00A86301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>4</w:t>
      </w:r>
      <w:r w:rsidR="00A86301" w:rsidRPr="00240069">
        <w:rPr>
          <w:b/>
          <w:color w:val="000000"/>
        </w:rPr>
        <w:t>.</w:t>
      </w:r>
      <w:r w:rsidR="00A86301" w:rsidRPr="00240069">
        <w:rPr>
          <w:b/>
          <w:color w:val="000000"/>
        </w:rPr>
        <w:tab/>
        <w:t>COMPETENCY</w:t>
      </w:r>
      <w:r w:rsidR="00890CD4" w:rsidRPr="00240069">
        <w:rPr>
          <w:b/>
          <w:color w:val="000000"/>
        </w:rPr>
        <w:t>/ASSESSMENT</w:t>
      </w:r>
    </w:p>
    <w:p w:rsidR="00240069" w:rsidRPr="00240069" w:rsidRDefault="00890CD4" w:rsidP="001407FC">
      <w:pPr>
        <w:tabs>
          <w:tab w:val="left" w:pos="709"/>
        </w:tabs>
        <w:rPr>
          <w:color w:val="000000"/>
        </w:rPr>
      </w:pPr>
      <w:r w:rsidRPr="00240069">
        <w:rPr>
          <w:b/>
          <w:color w:val="000000"/>
        </w:rPr>
        <w:tab/>
      </w:r>
      <w:r w:rsidRPr="00240069">
        <w:rPr>
          <w:color w:val="000000"/>
        </w:rPr>
        <w:t>Yes</w:t>
      </w:r>
    </w:p>
    <w:p w:rsidR="00890CD4" w:rsidRPr="00D7108B" w:rsidRDefault="00890CD4" w:rsidP="00A86301">
      <w:pPr>
        <w:tabs>
          <w:tab w:val="left" w:pos="709"/>
        </w:tabs>
        <w:rPr>
          <w:i/>
          <w:color w:val="808080"/>
        </w:rPr>
      </w:pPr>
      <w:r w:rsidRPr="00D7108B">
        <w:rPr>
          <w:i/>
          <w:color w:val="808080"/>
        </w:rPr>
        <w:tab/>
      </w:r>
    </w:p>
    <w:p w:rsidR="0021049D" w:rsidRDefault="0021049D" w:rsidP="0021049D">
      <w:pPr>
        <w:tabs>
          <w:tab w:val="clear" w:pos="2400"/>
          <w:tab w:val="clear" w:pos="4500"/>
        </w:tabs>
        <w:ind w:left="700"/>
        <w:rPr>
          <w:color w:val="000000"/>
        </w:rPr>
      </w:pPr>
    </w:p>
    <w:p w:rsidR="00B92C66" w:rsidRDefault="00B92C66" w:rsidP="0021049D">
      <w:pPr>
        <w:tabs>
          <w:tab w:val="clear" w:pos="2400"/>
          <w:tab w:val="clear" w:pos="4500"/>
        </w:tabs>
        <w:ind w:left="700"/>
        <w:rPr>
          <w:color w:val="000000"/>
        </w:rPr>
      </w:pPr>
    </w:p>
    <w:p w:rsidR="00B92C66" w:rsidRDefault="00B92C66" w:rsidP="0021049D">
      <w:pPr>
        <w:tabs>
          <w:tab w:val="clear" w:pos="2400"/>
          <w:tab w:val="clear" w:pos="4500"/>
        </w:tabs>
        <w:ind w:left="700"/>
        <w:rPr>
          <w:color w:val="000000"/>
        </w:rPr>
      </w:pPr>
    </w:p>
    <w:p w:rsidR="00B92C66" w:rsidRDefault="00B92C66" w:rsidP="0021049D">
      <w:pPr>
        <w:tabs>
          <w:tab w:val="clear" w:pos="2400"/>
          <w:tab w:val="clear" w:pos="4500"/>
        </w:tabs>
        <w:ind w:left="700"/>
        <w:rPr>
          <w:color w:val="000000"/>
        </w:rPr>
      </w:pPr>
    </w:p>
    <w:p w:rsidR="00B92C66" w:rsidRDefault="00B92C66" w:rsidP="0021049D">
      <w:pPr>
        <w:tabs>
          <w:tab w:val="clear" w:pos="2400"/>
          <w:tab w:val="clear" w:pos="4500"/>
        </w:tabs>
        <w:ind w:left="700"/>
        <w:rPr>
          <w:color w:val="000000"/>
        </w:rPr>
      </w:pPr>
    </w:p>
    <w:p w:rsidR="00B92C66" w:rsidRPr="00240069" w:rsidRDefault="00B92C66" w:rsidP="0021049D">
      <w:pPr>
        <w:tabs>
          <w:tab w:val="clear" w:pos="2400"/>
          <w:tab w:val="clear" w:pos="4500"/>
        </w:tabs>
        <w:ind w:left="700"/>
        <w:rPr>
          <w:color w:val="000000"/>
        </w:rPr>
      </w:pPr>
    </w:p>
    <w:p w:rsidR="0021049D" w:rsidRPr="00240069" w:rsidRDefault="00E51045" w:rsidP="0021049D">
      <w:pPr>
        <w:pStyle w:val="Heading1"/>
        <w:rPr>
          <w:color w:val="000000"/>
        </w:rPr>
      </w:pPr>
      <w:r>
        <w:rPr>
          <w:color w:val="000000"/>
        </w:rPr>
        <w:lastRenderedPageBreak/>
        <w:t>5</w:t>
      </w:r>
      <w:r w:rsidR="0021049D" w:rsidRPr="00240069">
        <w:rPr>
          <w:color w:val="000000"/>
        </w:rPr>
        <w:t>.</w:t>
      </w:r>
      <w:r w:rsidR="0021049D" w:rsidRPr="00240069">
        <w:rPr>
          <w:color w:val="000000"/>
        </w:rPr>
        <w:tab/>
      </w:r>
      <w:r w:rsidR="00503E85">
        <w:rPr>
          <w:color w:val="000000"/>
        </w:rPr>
        <w:t>CLINICAL BUSINESS RULE</w:t>
      </w:r>
    </w:p>
    <w:p w:rsidR="0021049D" w:rsidRPr="00240069" w:rsidRDefault="0021049D" w:rsidP="0021049D">
      <w:pPr>
        <w:rPr>
          <w:color w:val="000000"/>
        </w:rPr>
      </w:pPr>
    </w:p>
    <w:p w:rsidR="0021049D" w:rsidRDefault="0021049D" w:rsidP="0021049D">
      <w:pPr>
        <w:pStyle w:val="Heading2"/>
        <w:rPr>
          <w:color w:val="000000"/>
          <w:lang w:eastAsia="en-AU"/>
        </w:rPr>
      </w:pPr>
      <w:r w:rsidRPr="00240069">
        <w:rPr>
          <w:color w:val="000000"/>
          <w:lang w:eastAsia="en-AU"/>
        </w:rPr>
        <w:t>5.1</w:t>
      </w:r>
      <w:r w:rsidRPr="00240069">
        <w:rPr>
          <w:color w:val="000000"/>
          <w:lang w:eastAsia="en-AU"/>
        </w:rPr>
        <w:tab/>
      </w:r>
      <w:r w:rsidR="003913BF">
        <w:rPr>
          <w:color w:val="000000"/>
          <w:lang w:eastAsia="en-AU"/>
        </w:rPr>
        <w:t>WHEN TO CULTURE PD FLUID</w:t>
      </w:r>
    </w:p>
    <w:p w:rsidR="003913BF" w:rsidRDefault="003913BF" w:rsidP="003913BF">
      <w:pPr>
        <w:rPr>
          <w:lang w:eastAsia="en-AU"/>
        </w:rPr>
      </w:pPr>
    </w:p>
    <w:p w:rsidR="003913BF" w:rsidRDefault="003913BF" w:rsidP="003913BF">
      <w:pPr>
        <w:rPr>
          <w:lang w:eastAsia="en-AU"/>
        </w:rPr>
      </w:pPr>
      <w:r>
        <w:rPr>
          <w:lang w:eastAsia="en-AU"/>
        </w:rPr>
        <w:t>A specimen of PD fluid should be collected under the following circumstances:</w:t>
      </w:r>
    </w:p>
    <w:p w:rsidR="003913BF" w:rsidRDefault="003913BF" w:rsidP="00DF33F0">
      <w:pPr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Presence of fibrin in the PD effluent</w:t>
      </w:r>
    </w:p>
    <w:p w:rsidR="003913BF" w:rsidRDefault="003913BF" w:rsidP="00DF33F0">
      <w:pPr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Patient is febrile – temperature &gt; 37.5</w:t>
      </w:r>
    </w:p>
    <w:p w:rsidR="003913BF" w:rsidRDefault="003913BF" w:rsidP="00DF33F0">
      <w:pPr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Symptoms suggestive of peritonitis</w:t>
      </w:r>
    </w:p>
    <w:p w:rsidR="003913BF" w:rsidRDefault="003913BF" w:rsidP="00DF33F0">
      <w:pPr>
        <w:pStyle w:val="ListParagraph"/>
        <w:numPr>
          <w:ilvl w:val="3"/>
          <w:numId w:val="2"/>
        </w:numPr>
      </w:pPr>
      <w:r>
        <w:t>Cloudy peritoneal dialysis fluid</w:t>
      </w:r>
    </w:p>
    <w:p w:rsidR="003913BF" w:rsidRDefault="003913BF" w:rsidP="00DF33F0">
      <w:pPr>
        <w:pStyle w:val="ListParagraph"/>
        <w:numPr>
          <w:ilvl w:val="3"/>
          <w:numId w:val="2"/>
        </w:numPr>
      </w:pPr>
      <w:r>
        <w:t>Abdominal pain / tenderness</w:t>
      </w:r>
    </w:p>
    <w:p w:rsidR="003913BF" w:rsidRDefault="003913BF" w:rsidP="00DF33F0">
      <w:pPr>
        <w:pStyle w:val="ListParagraph"/>
        <w:numPr>
          <w:ilvl w:val="3"/>
          <w:numId w:val="2"/>
        </w:numPr>
      </w:pPr>
      <w:r>
        <w:t>Fever</w:t>
      </w:r>
    </w:p>
    <w:p w:rsidR="003913BF" w:rsidRDefault="003913BF" w:rsidP="00DF33F0">
      <w:pPr>
        <w:pStyle w:val="ListParagraph"/>
        <w:numPr>
          <w:ilvl w:val="3"/>
          <w:numId w:val="2"/>
        </w:numPr>
      </w:pPr>
      <w:r>
        <w:t>Chills / rigors</w:t>
      </w:r>
    </w:p>
    <w:p w:rsidR="003913BF" w:rsidRDefault="003913BF" w:rsidP="00DF33F0">
      <w:pPr>
        <w:pStyle w:val="ListParagraph"/>
        <w:numPr>
          <w:ilvl w:val="3"/>
          <w:numId w:val="2"/>
        </w:numPr>
      </w:pPr>
      <w:r>
        <w:t>Nausea</w:t>
      </w:r>
    </w:p>
    <w:p w:rsidR="003913BF" w:rsidRDefault="003913BF" w:rsidP="00DF33F0">
      <w:pPr>
        <w:pStyle w:val="ListParagraph"/>
        <w:numPr>
          <w:ilvl w:val="3"/>
          <w:numId w:val="2"/>
        </w:numPr>
      </w:pPr>
      <w:r>
        <w:t>Vomiting</w:t>
      </w:r>
    </w:p>
    <w:p w:rsidR="003913BF" w:rsidRPr="003913BF" w:rsidRDefault="003913BF" w:rsidP="00DF33F0">
      <w:pPr>
        <w:pStyle w:val="ListParagraph"/>
        <w:numPr>
          <w:ilvl w:val="3"/>
          <w:numId w:val="2"/>
        </w:numPr>
      </w:pPr>
      <w:r>
        <w:t>Diarrhoea</w:t>
      </w:r>
    </w:p>
    <w:p w:rsidR="00D7108B" w:rsidRPr="006B48E0" w:rsidRDefault="00D7108B" w:rsidP="00D7108B">
      <w:pPr>
        <w:rPr>
          <w:i/>
          <w:lang w:eastAsia="en-AU"/>
        </w:rPr>
      </w:pPr>
    </w:p>
    <w:p w:rsidR="000378E4" w:rsidRPr="00240069" w:rsidRDefault="000378E4" w:rsidP="00D7108B">
      <w:pPr>
        <w:tabs>
          <w:tab w:val="clear" w:pos="2400"/>
          <w:tab w:val="clear" w:pos="4500"/>
        </w:tabs>
        <w:rPr>
          <w:color w:val="000000"/>
        </w:rPr>
      </w:pPr>
    </w:p>
    <w:p w:rsidR="003913BF" w:rsidRDefault="00D7108B" w:rsidP="0021049D">
      <w:pPr>
        <w:pStyle w:val="Heading2"/>
        <w:rPr>
          <w:color w:val="000000"/>
          <w:lang w:eastAsia="en-AU"/>
        </w:rPr>
      </w:pPr>
      <w:r>
        <w:rPr>
          <w:color w:val="000000"/>
          <w:lang w:eastAsia="en-AU"/>
        </w:rPr>
        <w:t>5.2</w:t>
      </w:r>
      <w:r>
        <w:rPr>
          <w:color w:val="000000"/>
          <w:lang w:eastAsia="en-AU"/>
        </w:rPr>
        <w:tab/>
      </w:r>
      <w:r w:rsidR="003913BF">
        <w:rPr>
          <w:color w:val="000000"/>
          <w:lang w:eastAsia="en-AU"/>
        </w:rPr>
        <w:t>OBTAINING A CELL COUNT AND CULTURE</w:t>
      </w:r>
    </w:p>
    <w:p w:rsidR="00517D6C" w:rsidRDefault="003913BF" w:rsidP="003913BF">
      <w:pPr>
        <w:rPr>
          <w:lang w:eastAsia="en-AU"/>
        </w:rPr>
      </w:pPr>
      <w:r>
        <w:rPr>
          <w:lang w:eastAsia="en-AU"/>
        </w:rPr>
        <w:t>The handling of dialysate is important in establishing the causative agent.  Cloudy peritoneal dialysis effluent should be treated as peritonitis until proven otherwise.</w:t>
      </w:r>
      <w:r w:rsidR="00517D6C">
        <w:rPr>
          <w:lang w:eastAsia="en-AU"/>
        </w:rPr>
        <w:t xml:space="preserve">  The optimal culture technique includes:</w:t>
      </w:r>
    </w:p>
    <w:p w:rsidR="00517D6C" w:rsidRDefault="00517D6C" w:rsidP="00517D6C">
      <w:pPr>
        <w:pStyle w:val="ListBullet3"/>
        <w:rPr>
          <w:lang w:eastAsia="en-AU"/>
        </w:rPr>
      </w:pPr>
      <w:r>
        <w:rPr>
          <w:lang w:eastAsia="en-AU"/>
        </w:rPr>
        <w:t>50 mls of PD effluent in yellow top specimen jar</w:t>
      </w:r>
    </w:p>
    <w:p w:rsidR="00517D6C" w:rsidRDefault="00517D6C" w:rsidP="00517D6C">
      <w:pPr>
        <w:pStyle w:val="ListBullet3"/>
        <w:rPr>
          <w:lang w:eastAsia="en-AU"/>
        </w:rPr>
      </w:pPr>
      <w:r>
        <w:rPr>
          <w:lang w:eastAsia="en-AU"/>
        </w:rPr>
        <w:t>10 mls of PD effluent inoculated into each of the two blood culture bottles.  Blood culture techniques improve the yield of culture (1)</w:t>
      </w:r>
    </w:p>
    <w:p w:rsidR="00517D6C" w:rsidRDefault="00517D6C" w:rsidP="00517D6C">
      <w:pPr>
        <w:pStyle w:val="ListBullet3"/>
        <w:rPr>
          <w:lang w:eastAsia="en-AU"/>
        </w:rPr>
      </w:pPr>
      <w:r>
        <w:rPr>
          <w:lang w:eastAsia="en-AU"/>
        </w:rPr>
        <w:t>5 mls of PD fluid collected into a purple top EDTA tube</w:t>
      </w:r>
    </w:p>
    <w:p w:rsidR="00517D6C" w:rsidRDefault="00517D6C" w:rsidP="00517D6C">
      <w:pPr>
        <w:pStyle w:val="ListBullet3"/>
        <w:numPr>
          <w:ilvl w:val="0"/>
          <w:numId w:val="0"/>
        </w:numPr>
        <w:rPr>
          <w:lang w:eastAsia="en-AU"/>
        </w:rPr>
      </w:pPr>
    </w:p>
    <w:p w:rsidR="00517D6C" w:rsidRDefault="00517D6C" w:rsidP="00517D6C">
      <w:r>
        <w:t>Check whether patient already has PD fluid in the peritoneal cavity</w:t>
      </w:r>
    </w:p>
    <w:p w:rsidR="0021049D" w:rsidRPr="00240069" w:rsidRDefault="0021049D" w:rsidP="003913BF">
      <w:pPr>
        <w:rPr>
          <w:lang w:eastAsia="en-AU"/>
        </w:rPr>
      </w:pPr>
    </w:p>
    <w:p w:rsidR="0021049D" w:rsidRDefault="00517D6C" w:rsidP="00517D6C">
      <w:pPr>
        <w:pStyle w:val="Heading3"/>
      </w:pPr>
      <w:r>
        <w:t>5.2.1</w:t>
      </w:r>
      <w:r>
        <w:tab/>
        <w:t>Equipment</w:t>
      </w:r>
    </w:p>
    <w:p w:rsidR="00517D6C" w:rsidRDefault="00517D6C" w:rsidP="00DF33F0">
      <w:pPr>
        <w:numPr>
          <w:ilvl w:val="0"/>
          <w:numId w:val="5"/>
        </w:numPr>
      </w:pPr>
      <w:r>
        <w:t>CAPD freeline solo bag (1.5%)</w:t>
      </w:r>
    </w:p>
    <w:p w:rsidR="00517D6C" w:rsidRDefault="00517D6C" w:rsidP="00DF33F0">
      <w:pPr>
        <w:numPr>
          <w:ilvl w:val="0"/>
          <w:numId w:val="5"/>
        </w:numPr>
      </w:pPr>
      <w:r>
        <w:t>Minicap</w:t>
      </w:r>
    </w:p>
    <w:p w:rsidR="00517D6C" w:rsidRDefault="00517D6C" w:rsidP="00DF33F0">
      <w:pPr>
        <w:numPr>
          <w:ilvl w:val="0"/>
          <w:numId w:val="5"/>
        </w:numPr>
      </w:pPr>
      <w:r>
        <w:t>IV pole</w:t>
      </w:r>
    </w:p>
    <w:p w:rsidR="00517D6C" w:rsidRDefault="00517D6C" w:rsidP="00DF33F0">
      <w:pPr>
        <w:numPr>
          <w:ilvl w:val="0"/>
          <w:numId w:val="5"/>
        </w:numPr>
      </w:pPr>
      <w:r>
        <w:t>Blue sheet</w:t>
      </w:r>
    </w:p>
    <w:p w:rsidR="00517D6C" w:rsidRDefault="00517D6C" w:rsidP="00DF33F0">
      <w:pPr>
        <w:numPr>
          <w:ilvl w:val="0"/>
          <w:numId w:val="5"/>
        </w:numPr>
      </w:pPr>
      <w:r>
        <w:t>50 ml syringe</w:t>
      </w:r>
    </w:p>
    <w:p w:rsidR="00517D6C" w:rsidRDefault="00517D6C" w:rsidP="00DF33F0">
      <w:pPr>
        <w:numPr>
          <w:ilvl w:val="0"/>
          <w:numId w:val="5"/>
        </w:numPr>
      </w:pPr>
      <w:r>
        <w:t>20 ml syringe</w:t>
      </w:r>
    </w:p>
    <w:p w:rsidR="00517D6C" w:rsidRDefault="00517D6C" w:rsidP="00DF33F0">
      <w:pPr>
        <w:numPr>
          <w:ilvl w:val="0"/>
          <w:numId w:val="5"/>
        </w:numPr>
      </w:pPr>
      <w:r>
        <w:t>5 ml syringe</w:t>
      </w:r>
    </w:p>
    <w:p w:rsidR="003A4780" w:rsidRDefault="003A4780" w:rsidP="00DF33F0">
      <w:pPr>
        <w:numPr>
          <w:ilvl w:val="0"/>
          <w:numId w:val="5"/>
        </w:numPr>
      </w:pPr>
      <w:r>
        <w:t>Yellow top specimen jar</w:t>
      </w:r>
    </w:p>
    <w:p w:rsidR="003A4780" w:rsidRDefault="003A4780" w:rsidP="00DF33F0">
      <w:pPr>
        <w:numPr>
          <w:ilvl w:val="0"/>
          <w:numId w:val="5"/>
        </w:numPr>
      </w:pPr>
      <w:r>
        <w:t>Blood culture bottles</w:t>
      </w:r>
    </w:p>
    <w:p w:rsidR="003A4780" w:rsidRDefault="003A4780" w:rsidP="00DF33F0">
      <w:pPr>
        <w:numPr>
          <w:ilvl w:val="0"/>
          <w:numId w:val="5"/>
        </w:numPr>
      </w:pPr>
      <w:r>
        <w:t>EDTA tube</w:t>
      </w:r>
    </w:p>
    <w:p w:rsidR="00517D6C" w:rsidRDefault="00517D6C" w:rsidP="00DF33F0">
      <w:pPr>
        <w:numPr>
          <w:ilvl w:val="0"/>
          <w:numId w:val="5"/>
        </w:numPr>
      </w:pPr>
      <w:r>
        <w:t>21 guage needles x 5</w:t>
      </w:r>
    </w:p>
    <w:p w:rsidR="003A4780" w:rsidRDefault="003A4780" w:rsidP="00DF33F0">
      <w:pPr>
        <w:numPr>
          <w:ilvl w:val="0"/>
          <w:numId w:val="5"/>
        </w:numPr>
      </w:pPr>
      <w:r>
        <w:t>Alco wipes x 3</w:t>
      </w:r>
    </w:p>
    <w:p w:rsidR="00517D6C" w:rsidRPr="00517D6C" w:rsidRDefault="00517D6C" w:rsidP="00DF33F0">
      <w:pPr>
        <w:numPr>
          <w:ilvl w:val="0"/>
          <w:numId w:val="5"/>
        </w:numPr>
      </w:pPr>
      <w:r>
        <w:t>Sterile gloves</w:t>
      </w:r>
    </w:p>
    <w:p w:rsidR="00517D6C" w:rsidRDefault="00517D6C" w:rsidP="00517D6C"/>
    <w:p w:rsidR="00517D6C" w:rsidRDefault="003A4780" w:rsidP="003A4780">
      <w:pPr>
        <w:pStyle w:val="Heading3"/>
      </w:pPr>
      <w:r>
        <w:t>5.2.2</w:t>
      </w:r>
      <w:r>
        <w:tab/>
        <w:t>Procedure</w:t>
      </w:r>
      <w:r>
        <w:tab/>
      </w:r>
    </w:p>
    <w:p w:rsidR="003A4780" w:rsidRPr="003A4780" w:rsidRDefault="003A4780" w:rsidP="00DF33F0">
      <w:pPr>
        <w:numPr>
          <w:ilvl w:val="0"/>
          <w:numId w:val="6"/>
        </w:numPr>
      </w:pPr>
      <w:r>
        <w:t>Wash hands</w:t>
      </w:r>
    </w:p>
    <w:p w:rsidR="00517D6C" w:rsidRDefault="00517D6C" w:rsidP="00DF33F0">
      <w:pPr>
        <w:numPr>
          <w:ilvl w:val="0"/>
          <w:numId w:val="6"/>
        </w:numPr>
      </w:pPr>
      <w:r>
        <w:t>Collect equipment</w:t>
      </w:r>
    </w:p>
    <w:p w:rsidR="00517D6C" w:rsidRDefault="00517D6C" w:rsidP="00DF33F0">
      <w:pPr>
        <w:numPr>
          <w:ilvl w:val="0"/>
          <w:numId w:val="6"/>
        </w:numPr>
      </w:pPr>
      <w:r>
        <w:t>If the patient is empty perform a freeline solo bag exchange</w:t>
      </w:r>
      <w:r w:rsidR="000801F4">
        <w:t xml:space="preserve"> (2)</w:t>
      </w:r>
      <w:r>
        <w:t>, infusing at least one litre of PD fluid.  The fluid should be left to dwell for a minimum of one hour.</w:t>
      </w:r>
    </w:p>
    <w:p w:rsidR="00517D6C" w:rsidRDefault="00517D6C" w:rsidP="00DF33F0">
      <w:pPr>
        <w:numPr>
          <w:ilvl w:val="0"/>
          <w:numId w:val="6"/>
        </w:numPr>
      </w:pPr>
      <w:r>
        <w:t>If the patient has fluid in the abdomen drain patient out using freeline solo bag</w:t>
      </w:r>
    </w:p>
    <w:p w:rsidR="00517D6C" w:rsidRDefault="00517D6C" w:rsidP="00DF33F0">
      <w:pPr>
        <w:numPr>
          <w:ilvl w:val="0"/>
          <w:numId w:val="6"/>
        </w:numPr>
      </w:pPr>
      <w:r>
        <w:t>Once patient has completely drained cap patient off using a minicap</w:t>
      </w:r>
    </w:p>
    <w:p w:rsidR="003A4780" w:rsidRDefault="003A4780" w:rsidP="003A4780"/>
    <w:p w:rsidR="003A4780" w:rsidRDefault="003A4780" w:rsidP="003A4780">
      <w:pPr>
        <w:pStyle w:val="Heading3"/>
      </w:pPr>
      <w:r>
        <w:t>5.2.3</w:t>
      </w:r>
      <w:r>
        <w:tab/>
        <w:t>Collection of PD specimen</w:t>
      </w:r>
    </w:p>
    <w:p w:rsidR="003A4780" w:rsidRDefault="003A4780" w:rsidP="00DF33F0">
      <w:pPr>
        <w:numPr>
          <w:ilvl w:val="0"/>
          <w:numId w:val="7"/>
        </w:numPr>
      </w:pPr>
      <w:r>
        <w:t>Wash hands</w:t>
      </w:r>
    </w:p>
    <w:p w:rsidR="003A4780" w:rsidRDefault="003A4780" w:rsidP="00DF33F0">
      <w:pPr>
        <w:numPr>
          <w:ilvl w:val="0"/>
          <w:numId w:val="7"/>
        </w:numPr>
      </w:pPr>
      <w:r>
        <w:t>Don non sterile gloves</w:t>
      </w:r>
    </w:p>
    <w:p w:rsidR="003A4780" w:rsidRDefault="003A4780" w:rsidP="00DF33F0">
      <w:pPr>
        <w:numPr>
          <w:ilvl w:val="0"/>
          <w:numId w:val="7"/>
        </w:numPr>
      </w:pPr>
      <w:r>
        <w:t>Place drained bag of PD fluid on metal trolley</w:t>
      </w:r>
    </w:p>
    <w:p w:rsidR="003A4780" w:rsidRDefault="003A4780" w:rsidP="00DF33F0">
      <w:pPr>
        <w:numPr>
          <w:ilvl w:val="0"/>
          <w:numId w:val="7"/>
        </w:numPr>
      </w:pPr>
      <w:r>
        <w:t>1 minute hand wash</w:t>
      </w:r>
    </w:p>
    <w:p w:rsidR="003A4780" w:rsidRDefault="003A4780" w:rsidP="00DF33F0">
      <w:pPr>
        <w:numPr>
          <w:ilvl w:val="0"/>
          <w:numId w:val="7"/>
        </w:numPr>
      </w:pPr>
      <w:r>
        <w:t>Don sterile gloves</w:t>
      </w:r>
    </w:p>
    <w:p w:rsidR="003A4780" w:rsidRDefault="003A4780" w:rsidP="00DF33F0">
      <w:pPr>
        <w:numPr>
          <w:ilvl w:val="0"/>
          <w:numId w:val="7"/>
        </w:numPr>
      </w:pPr>
      <w:r>
        <w:t>Swab injection port of PD bag with alco wipe</w:t>
      </w:r>
    </w:p>
    <w:p w:rsidR="003A4780" w:rsidRDefault="003A4780" w:rsidP="00DF33F0">
      <w:pPr>
        <w:numPr>
          <w:ilvl w:val="0"/>
          <w:numId w:val="7"/>
        </w:numPr>
      </w:pPr>
      <w:r>
        <w:t>Using 50 ml syringe and 21 guage needle draw up 50 mls of PD effluent.</w:t>
      </w:r>
    </w:p>
    <w:p w:rsidR="003A4780" w:rsidRDefault="003A4780" w:rsidP="00DF33F0">
      <w:pPr>
        <w:numPr>
          <w:ilvl w:val="0"/>
          <w:numId w:val="7"/>
        </w:numPr>
      </w:pPr>
      <w:r>
        <w:t>Remove needle and empty contents of syringe into yellow top specimen jar, being careful not to touch the sides of the jar with the syringe.</w:t>
      </w:r>
    </w:p>
    <w:p w:rsidR="003A4780" w:rsidRDefault="003A4780" w:rsidP="00DF33F0">
      <w:pPr>
        <w:numPr>
          <w:ilvl w:val="0"/>
          <w:numId w:val="7"/>
        </w:numPr>
      </w:pPr>
      <w:r>
        <w:t>Swab injection port of PD bag</w:t>
      </w:r>
    </w:p>
    <w:p w:rsidR="003A4780" w:rsidRDefault="003A4780" w:rsidP="00DF33F0">
      <w:pPr>
        <w:numPr>
          <w:ilvl w:val="0"/>
          <w:numId w:val="7"/>
        </w:numPr>
      </w:pPr>
      <w:r>
        <w:t>Using 20 mls syringe and 21 guage needle draw up 20 mls of PD effluent.</w:t>
      </w:r>
    </w:p>
    <w:p w:rsidR="003A4780" w:rsidRDefault="003A4780" w:rsidP="00DF33F0">
      <w:pPr>
        <w:numPr>
          <w:ilvl w:val="0"/>
          <w:numId w:val="7"/>
        </w:numPr>
      </w:pPr>
      <w:r>
        <w:t>Change needle, carefully remove caps from blood culture bottles and swab the top of each blood cu</w:t>
      </w:r>
      <w:r w:rsidR="000801F4">
        <w:t>lture bottle with an alcowipe, i</w:t>
      </w:r>
      <w:r>
        <w:t>nject 10 mls of PD effluent into each bottle, changing needles between bottles.</w:t>
      </w:r>
    </w:p>
    <w:p w:rsidR="003A4780" w:rsidRDefault="003A4780" w:rsidP="00DF33F0">
      <w:pPr>
        <w:numPr>
          <w:ilvl w:val="0"/>
          <w:numId w:val="7"/>
        </w:numPr>
      </w:pPr>
      <w:r>
        <w:t>Using the 5 ml syringe and 21 guage needle draw up a further 5mls of PD effluent and inject it into the EDTA tube</w:t>
      </w:r>
      <w:r w:rsidR="000801F4">
        <w:t>.</w:t>
      </w:r>
    </w:p>
    <w:p w:rsidR="000801F4" w:rsidRDefault="000801F4" w:rsidP="00DF33F0">
      <w:pPr>
        <w:numPr>
          <w:ilvl w:val="0"/>
          <w:numId w:val="7"/>
        </w:numPr>
      </w:pPr>
      <w:r>
        <w:t>Discard all equipment and PD effluent</w:t>
      </w:r>
    </w:p>
    <w:p w:rsidR="000801F4" w:rsidRDefault="000801F4" w:rsidP="00DF33F0">
      <w:pPr>
        <w:numPr>
          <w:ilvl w:val="0"/>
          <w:numId w:val="7"/>
        </w:numPr>
      </w:pPr>
      <w:r>
        <w:t>Wash hands</w:t>
      </w:r>
    </w:p>
    <w:p w:rsidR="000801F4" w:rsidRDefault="000801F4" w:rsidP="00DF33F0">
      <w:pPr>
        <w:numPr>
          <w:ilvl w:val="0"/>
          <w:numId w:val="7"/>
        </w:numPr>
      </w:pPr>
      <w:r>
        <w:t>Label specimens</w:t>
      </w:r>
    </w:p>
    <w:p w:rsidR="000801F4" w:rsidRDefault="000801F4" w:rsidP="000801F4"/>
    <w:p w:rsidR="000801F4" w:rsidRDefault="000801F4" w:rsidP="000801F4">
      <w:pPr>
        <w:pStyle w:val="Heading3"/>
      </w:pPr>
      <w:r>
        <w:t>5.2.4</w:t>
      </w:r>
      <w:r>
        <w:tab/>
        <w:t>Ordering tests in eMR</w:t>
      </w:r>
    </w:p>
    <w:p w:rsidR="000801F4" w:rsidRDefault="000801F4" w:rsidP="00DF33F0">
      <w:pPr>
        <w:numPr>
          <w:ilvl w:val="0"/>
          <w:numId w:val="8"/>
        </w:numPr>
      </w:pPr>
      <w:r>
        <w:t>Culture and sensitivity:</w:t>
      </w:r>
    </w:p>
    <w:p w:rsidR="000801F4" w:rsidRDefault="000801F4" w:rsidP="00DF33F0">
      <w:pPr>
        <w:numPr>
          <w:ilvl w:val="2"/>
          <w:numId w:val="8"/>
        </w:numPr>
      </w:pPr>
      <w:r>
        <w:t>Select culture other specimen (Max 4)</w:t>
      </w:r>
    </w:p>
    <w:p w:rsidR="000801F4" w:rsidRDefault="000801F4" w:rsidP="00DF33F0">
      <w:pPr>
        <w:numPr>
          <w:ilvl w:val="2"/>
          <w:numId w:val="8"/>
        </w:numPr>
      </w:pPr>
      <w:r>
        <w:t>From tests required box select cell count, culture (includes gram stain &amp; M/C&amp;S)</w:t>
      </w:r>
    </w:p>
    <w:p w:rsidR="000801F4" w:rsidRDefault="000801F4" w:rsidP="00DF33F0">
      <w:pPr>
        <w:numPr>
          <w:ilvl w:val="0"/>
          <w:numId w:val="8"/>
        </w:numPr>
      </w:pPr>
      <w:r>
        <w:t>WCC: From the order screen select body fluid WCC</w:t>
      </w:r>
    </w:p>
    <w:p w:rsidR="000801F4" w:rsidRDefault="000801F4" w:rsidP="00DF33F0">
      <w:pPr>
        <w:numPr>
          <w:ilvl w:val="0"/>
          <w:numId w:val="8"/>
        </w:numPr>
      </w:pPr>
      <w:r>
        <w:t>Differential count: from the order screen select “differential cell count body fluid”</w:t>
      </w:r>
    </w:p>
    <w:p w:rsidR="000801F4" w:rsidRDefault="000801F4" w:rsidP="000801F4"/>
    <w:p w:rsidR="000801F4" w:rsidRDefault="000801F4" w:rsidP="000801F4">
      <w:r>
        <w:lastRenderedPageBreak/>
        <w:t>If the PD fluid is turbid, the peritonitis protocol should be implemented following the collection of specimens (3)</w:t>
      </w:r>
    </w:p>
    <w:p w:rsidR="000801F4" w:rsidRDefault="000801F4" w:rsidP="000801F4"/>
    <w:p w:rsidR="000801F4" w:rsidRDefault="000801F4" w:rsidP="000801F4">
      <w:pPr>
        <w:pStyle w:val="Heading3"/>
      </w:pPr>
      <w:r>
        <w:t>5.2.5</w:t>
      </w:r>
      <w:r>
        <w:tab/>
        <w:t>Interpretation of results</w:t>
      </w:r>
    </w:p>
    <w:p w:rsidR="000801F4" w:rsidRDefault="000801F4" w:rsidP="00DF33F0">
      <w:pPr>
        <w:numPr>
          <w:ilvl w:val="0"/>
          <w:numId w:val="9"/>
        </w:numPr>
      </w:pPr>
      <w:r>
        <w:t>A cell count &gt; 100 / ul and / or greater than 50% polymorphonuclear cells is diagnostic of peritonitis</w:t>
      </w:r>
    </w:p>
    <w:p w:rsidR="000801F4" w:rsidRDefault="000801F4" w:rsidP="00DF33F0">
      <w:pPr>
        <w:numPr>
          <w:ilvl w:val="0"/>
          <w:numId w:val="9"/>
        </w:numPr>
      </w:pPr>
      <w:r>
        <w:t>The fluid may have an elevated cell count with no growth (culture negative peritonitis)</w:t>
      </w:r>
    </w:p>
    <w:p w:rsidR="00517D6C" w:rsidRPr="00517D6C" w:rsidRDefault="000801F4" w:rsidP="00DF33F0">
      <w:pPr>
        <w:numPr>
          <w:ilvl w:val="0"/>
          <w:numId w:val="9"/>
        </w:numPr>
      </w:pPr>
      <w:r>
        <w:t>The fluid may have a positive culture with a cell count &lt; 100</w:t>
      </w:r>
    </w:p>
    <w:p w:rsidR="0021049D" w:rsidRDefault="0021049D" w:rsidP="0021049D">
      <w:pPr>
        <w:pStyle w:val="Heading1"/>
      </w:pPr>
      <w:r>
        <w:t>6.</w:t>
      </w:r>
      <w:r>
        <w:tab/>
        <w:t>DOCUMENTATION</w:t>
      </w:r>
    </w:p>
    <w:p w:rsidR="00240069" w:rsidRDefault="00240069" w:rsidP="00240069">
      <w:pPr>
        <w:tabs>
          <w:tab w:val="clear" w:pos="2400"/>
          <w:tab w:val="clear" w:pos="4500"/>
        </w:tabs>
      </w:pPr>
    </w:p>
    <w:p w:rsidR="006F4332" w:rsidRDefault="006F4332" w:rsidP="006F4332">
      <w:pPr>
        <w:pStyle w:val="Heading1"/>
      </w:pPr>
    </w:p>
    <w:p w:rsidR="006F4332" w:rsidRPr="00123964" w:rsidRDefault="006F4332" w:rsidP="006F4332">
      <w:pPr>
        <w:pStyle w:val="Heading1"/>
      </w:pPr>
      <w:r>
        <w:t>7</w:t>
      </w:r>
      <w:r w:rsidRPr="00123964">
        <w:t>.</w:t>
      </w:r>
      <w:r w:rsidRPr="00123964">
        <w:tab/>
        <w:t>COMPLIANCE EVALUATION</w:t>
      </w:r>
    </w:p>
    <w:p w:rsidR="006F4332" w:rsidRPr="000801F4" w:rsidRDefault="000801F4" w:rsidP="006F4332">
      <w:pPr>
        <w:ind w:left="709"/>
      </w:pPr>
      <w:r w:rsidRPr="000801F4">
        <w:t>Audit of adequacy of microbiological sampling</w:t>
      </w:r>
    </w:p>
    <w:p w:rsidR="000801F4" w:rsidRPr="000801F4" w:rsidRDefault="000801F4" w:rsidP="006F4332">
      <w:pPr>
        <w:ind w:left="709"/>
      </w:pPr>
      <w:r w:rsidRPr="000801F4">
        <w:t>Percentage of samples which are culture negative (should be &lt; 20%) (4)</w:t>
      </w:r>
    </w:p>
    <w:p w:rsidR="00E51045" w:rsidRDefault="00E51045" w:rsidP="00240069">
      <w:pPr>
        <w:tabs>
          <w:tab w:val="clear" w:pos="2400"/>
          <w:tab w:val="clear" w:pos="4500"/>
        </w:tabs>
      </w:pPr>
    </w:p>
    <w:p w:rsidR="00E51045" w:rsidRPr="00D7108B" w:rsidRDefault="006F4332" w:rsidP="00E51045">
      <w:pPr>
        <w:pStyle w:val="Heading1"/>
      </w:pPr>
      <w:r>
        <w:t>8</w:t>
      </w:r>
      <w:r w:rsidR="00E51045" w:rsidRPr="00D7108B">
        <w:t>.</w:t>
      </w:r>
      <w:r w:rsidR="00E51045" w:rsidRPr="00D7108B">
        <w:tab/>
        <w:t>RELATED POLICIES/PROCEDURES/</w:t>
      </w:r>
      <w:r w:rsidR="00BA70D2" w:rsidRPr="00D7108B">
        <w:t>GUIDELINES/</w:t>
      </w:r>
      <w:r w:rsidR="00E51045" w:rsidRPr="00D7108B">
        <w:t>BUSINESS RULES</w:t>
      </w:r>
    </w:p>
    <w:p w:rsidR="005909EE" w:rsidRPr="00CA3239" w:rsidRDefault="00E51045" w:rsidP="00E51045">
      <w:pPr>
        <w:rPr>
          <w:color w:val="FF0000"/>
        </w:rPr>
      </w:pPr>
      <w:r w:rsidRPr="00CA3239">
        <w:rPr>
          <w:color w:val="FF0000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8363"/>
      </w:tblGrid>
      <w:tr w:rsidR="00EA4C8D" w:rsidRPr="00CA3239" w:rsidTr="00EA4C8D">
        <w:tc>
          <w:tcPr>
            <w:tcW w:w="1373" w:type="dxa"/>
          </w:tcPr>
          <w:p w:rsidR="00EA4C8D" w:rsidRPr="00D7108B" w:rsidRDefault="00EA4C8D" w:rsidP="00007961">
            <w:pPr>
              <w:tabs>
                <w:tab w:val="clear" w:pos="2400"/>
                <w:tab w:val="clear" w:pos="4500"/>
              </w:tabs>
            </w:pPr>
            <w:r w:rsidRPr="00D7108B">
              <w:t>Number</w:t>
            </w:r>
          </w:p>
        </w:tc>
        <w:tc>
          <w:tcPr>
            <w:tcW w:w="8363" w:type="dxa"/>
          </w:tcPr>
          <w:p w:rsidR="00EA4C8D" w:rsidRPr="00D7108B" w:rsidRDefault="00EA4C8D" w:rsidP="00007961">
            <w:pPr>
              <w:tabs>
                <w:tab w:val="clear" w:pos="2400"/>
                <w:tab w:val="clear" w:pos="4500"/>
              </w:tabs>
            </w:pPr>
            <w:r w:rsidRPr="00D7108B">
              <w:t>Policy/Procedure/Guideline/Business Rule</w:t>
            </w:r>
          </w:p>
        </w:tc>
      </w:tr>
      <w:tr w:rsidR="00EA4C8D" w:rsidRPr="00CA3239" w:rsidTr="00EA4C8D">
        <w:tc>
          <w:tcPr>
            <w:tcW w:w="1373" w:type="dxa"/>
          </w:tcPr>
          <w:p w:rsidR="00EA4C8D" w:rsidRPr="00D7108B" w:rsidRDefault="000801F4" w:rsidP="00007961">
            <w:pPr>
              <w:tabs>
                <w:tab w:val="clear" w:pos="2400"/>
                <w:tab w:val="clear" w:pos="4500"/>
              </w:tabs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1</w:t>
            </w:r>
          </w:p>
        </w:tc>
        <w:tc>
          <w:tcPr>
            <w:tcW w:w="8363" w:type="dxa"/>
          </w:tcPr>
          <w:p w:rsidR="00EA4C8D" w:rsidRPr="000801F4" w:rsidRDefault="000801F4" w:rsidP="00007961">
            <w:pPr>
              <w:tabs>
                <w:tab w:val="clear" w:pos="2400"/>
                <w:tab w:val="clear" w:pos="4500"/>
              </w:tabs>
              <w:rPr>
                <w:i/>
              </w:rPr>
            </w:pPr>
            <w:r w:rsidRPr="000801F4">
              <w:rPr>
                <w:i/>
              </w:rPr>
              <w:t>CAPD freeline solo exchange</w:t>
            </w:r>
            <w:r w:rsidR="00A91E90" w:rsidRPr="000801F4">
              <w:rPr>
                <w:i/>
              </w:rPr>
              <w:t xml:space="preserve"> </w:t>
            </w:r>
          </w:p>
        </w:tc>
      </w:tr>
      <w:tr w:rsidR="00EA4C8D" w:rsidRPr="00CA3239" w:rsidTr="00D7108B">
        <w:trPr>
          <w:trHeight w:val="70"/>
        </w:trPr>
        <w:tc>
          <w:tcPr>
            <w:tcW w:w="1373" w:type="dxa"/>
          </w:tcPr>
          <w:p w:rsidR="00EA4C8D" w:rsidRPr="000801F4" w:rsidRDefault="000801F4" w:rsidP="00007961">
            <w:pPr>
              <w:tabs>
                <w:tab w:val="clear" w:pos="2400"/>
                <w:tab w:val="clear" w:pos="4500"/>
              </w:tabs>
            </w:pPr>
            <w:r w:rsidRPr="000801F4">
              <w:t>3</w:t>
            </w:r>
          </w:p>
        </w:tc>
        <w:tc>
          <w:tcPr>
            <w:tcW w:w="8363" w:type="dxa"/>
          </w:tcPr>
          <w:p w:rsidR="00EA4C8D" w:rsidRPr="000801F4" w:rsidRDefault="000801F4" w:rsidP="00007961">
            <w:pPr>
              <w:tabs>
                <w:tab w:val="clear" w:pos="2400"/>
                <w:tab w:val="clear" w:pos="4500"/>
              </w:tabs>
            </w:pPr>
            <w:r w:rsidRPr="000801F4">
              <w:t>Assessment and mangagement of peritonitis</w:t>
            </w:r>
          </w:p>
        </w:tc>
      </w:tr>
    </w:tbl>
    <w:p w:rsidR="00E51045" w:rsidRPr="00CA3239" w:rsidRDefault="00E51045" w:rsidP="00E51045">
      <w:pPr>
        <w:rPr>
          <w:color w:val="FF0000"/>
        </w:rPr>
      </w:pPr>
    </w:p>
    <w:p w:rsidR="00E51045" w:rsidRPr="00D7108B" w:rsidRDefault="006F4332" w:rsidP="00E51045">
      <w:pPr>
        <w:pStyle w:val="Heading1"/>
        <w:tabs>
          <w:tab w:val="left" w:pos="700"/>
        </w:tabs>
      </w:pPr>
      <w:r>
        <w:t>9</w:t>
      </w:r>
      <w:r w:rsidR="00E51045" w:rsidRPr="00D7108B">
        <w:t>.</w:t>
      </w:r>
      <w:r w:rsidR="00E51045" w:rsidRPr="00D7108B">
        <w:tab/>
      </w:r>
      <w:r w:rsidR="00A91E90" w:rsidRPr="00D7108B">
        <w:t xml:space="preserve">EXTERNAL </w:t>
      </w:r>
      <w:r w:rsidR="00E51045" w:rsidRPr="00D7108B">
        <w:t>REFERENCES</w:t>
      </w:r>
    </w:p>
    <w:p w:rsidR="00D7108B" w:rsidRPr="00D7108B" w:rsidRDefault="00D7108B" w:rsidP="00E51045">
      <w:pPr>
        <w:tabs>
          <w:tab w:val="clear" w:pos="2400"/>
          <w:tab w:val="clear" w:pos="4500"/>
        </w:tabs>
        <w:ind w:left="686"/>
        <w:rPr>
          <w:color w:val="808080"/>
        </w:rPr>
      </w:pPr>
      <w:r w:rsidRPr="00D7108B">
        <w:rPr>
          <w:i/>
          <w:color w:val="808080"/>
        </w:rPr>
        <w:t>Use numbered list format, to correspond with numbers in text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8363"/>
      </w:tblGrid>
      <w:tr w:rsidR="00EA4C8D" w:rsidRPr="00CA3239" w:rsidTr="00EA4C8D">
        <w:tc>
          <w:tcPr>
            <w:tcW w:w="1373" w:type="dxa"/>
          </w:tcPr>
          <w:p w:rsidR="00EA4C8D" w:rsidRPr="00D7108B" w:rsidRDefault="00EA4C8D" w:rsidP="0097724C">
            <w:pPr>
              <w:tabs>
                <w:tab w:val="clear" w:pos="2400"/>
                <w:tab w:val="clear" w:pos="4500"/>
              </w:tabs>
            </w:pPr>
            <w:r w:rsidRPr="00D7108B">
              <w:t>Number</w:t>
            </w:r>
          </w:p>
        </w:tc>
        <w:tc>
          <w:tcPr>
            <w:tcW w:w="8363" w:type="dxa"/>
          </w:tcPr>
          <w:p w:rsidR="00EA4C8D" w:rsidRPr="00D7108B" w:rsidRDefault="00EA4C8D" w:rsidP="00D7108B">
            <w:pPr>
              <w:tabs>
                <w:tab w:val="clear" w:pos="2400"/>
                <w:tab w:val="clear" w:pos="4500"/>
              </w:tabs>
            </w:pPr>
            <w:r w:rsidRPr="00D7108B">
              <w:t xml:space="preserve">Reference </w:t>
            </w:r>
          </w:p>
          <w:p w:rsidR="00D7108B" w:rsidRPr="00C64270" w:rsidRDefault="00D7108B" w:rsidP="000801F4">
            <w:pPr>
              <w:tabs>
                <w:tab w:val="clear" w:pos="2400"/>
                <w:tab w:val="clear" w:pos="4500"/>
              </w:tabs>
              <w:rPr>
                <w:i/>
                <w:color w:val="808080"/>
              </w:rPr>
            </w:pPr>
          </w:p>
        </w:tc>
      </w:tr>
      <w:tr w:rsidR="00EA4C8D" w:rsidRPr="00CA3239" w:rsidTr="00EA4C8D">
        <w:tc>
          <w:tcPr>
            <w:tcW w:w="1373" w:type="dxa"/>
          </w:tcPr>
          <w:p w:rsidR="00EA4C8D" w:rsidRDefault="00170A0F" w:rsidP="0097724C">
            <w:pPr>
              <w:tabs>
                <w:tab w:val="clear" w:pos="2400"/>
                <w:tab w:val="clear" w:pos="4500"/>
              </w:tabs>
              <w:rPr>
                <w:i/>
                <w:color w:val="7F7F7F"/>
              </w:rPr>
            </w:pPr>
            <w:r w:rsidRPr="00D7108B">
              <w:rPr>
                <w:i/>
                <w:color w:val="7F7F7F"/>
              </w:rPr>
              <w:t>.</w:t>
            </w:r>
          </w:p>
          <w:p w:rsidR="000801F4" w:rsidRPr="000801F4" w:rsidRDefault="000801F4" w:rsidP="0097724C">
            <w:pPr>
              <w:tabs>
                <w:tab w:val="clear" w:pos="2400"/>
                <w:tab w:val="clear" w:pos="4500"/>
              </w:tabs>
              <w:rPr>
                <w:i/>
              </w:rPr>
            </w:pPr>
            <w:r w:rsidRPr="000801F4">
              <w:rPr>
                <w:i/>
              </w:rPr>
              <w:t>2</w:t>
            </w:r>
          </w:p>
        </w:tc>
        <w:tc>
          <w:tcPr>
            <w:tcW w:w="8363" w:type="dxa"/>
          </w:tcPr>
          <w:p w:rsidR="000801F4" w:rsidRPr="00142C20" w:rsidRDefault="000801F4" w:rsidP="000801F4">
            <w:pPr>
              <w:pStyle w:val="Heading1"/>
              <w:spacing w:after="0"/>
              <w:rPr>
                <w:b w:val="0"/>
              </w:rPr>
            </w:pPr>
            <w:r w:rsidRPr="00142C20">
              <w:rPr>
                <w:b w:val="0"/>
              </w:rPr>
              <w:t xml:space="preserve">Lamiere, N. and VanBiesen, W. (2009) </w:t>
            </w:r>
            <w:r>
              <w:rPr>
                <w:b w:val="0"/>
              </w:rPr>
              <w:t xml:space="preserve">Peritonitis </w:t>
            </w:r>
            <w:proofErr w:type="gramStart"/>
            <w:r w:rsidRPr="00142C20">
              <w:rPr>
                <w:b w:val="0"/>
              </w:rPr>
              <w:t>In</w:t>
            </w:r>
            <w:proofErr w:type="gramEnd"/>
            <w:r w:rsidRPr="00142C20">
              <w:rPr>
                <w:b w:val="0"/>
              </w:rPr>
              <w:t xml:space="preserve"> Nolph and Gokal's Textbook of peritoneal dialysis</w:t>
            </w:r>
            <w:r>
              <w:rPr>
                <w:b w:val="0"/>
              </w:rPr>
              <w:t xml:space="preserve"> </w:t>
            </w:r>
            <w:r w:rsidRPr="00142C20">
              <w:rPr>
                <w:b w:val="0"/>
              </w:rPr>
              <w:t>(Eds, Khanna, R. and Krediet, R. T.) Springer-Verlag, New York.</w:t>
            </w:r>
          </w:p>
          <w:p w:rsidR="00EA4C8D" w:rsidRPr="00D7108B" w:rsidRDefault="00EA4C8D" w:rsidP="0097724C">
            <w:pPr>
              <w:tabs>
                <w:tab w:val="clear" w:pos="2400"/>
                <w:tab w:val="clear" w:pos="4500"/>
              </w:tabs>
              <w:rPr>
                <w:i/>
                <w:color w:val="7F7F7F"/>
              </w:rPr>
            </w:pPr>
          </w:p>
        </w:tc>
      </w:tr>
      <w:tr w:rsidR="00EA4C8D" w:rsidRPr="00CA3239" w:rsidTr="00EA4C8D">
        <w:tc>
          <w:tcPr>
            <w:tcW w:w="1373" w:type="dxa"/>
          </w:tcPr>
          <w:p w:rsidR="00EA4C8D" w:rsidRPr="000801F4" w:rsidRDefault="000801F4" w:rsidP="0097724C">
            <w:pPr>
              <w:tabs>
                <w:tab w:val="clear" w:pos="2400"/>
                <w:tab w:val="clear" w:pos="4500"/>
              </w:tabs>
            </w:pPr>
            <w:r w:rsidRPr="000801F4">
              <w:t>4</w:t>
            </w:r>
          </w:p>
        </w:tc>
        <w:tc>
          <w:tcPr>
            <w:tcW w:w="8363" w:type="dxa"/>
          </w:tcPr>
          <w:p w:rsidR="00EA4C8D" w:rsidRPr="000801F4" w:rsidRDefault="000801F4" w:rsidP="0097724C">
            <w:pPr>
              <w:tabs>
                <w:tab w:val="clear" w:pos="2400"/>
                <w:tab w:val="clear" w:pos="4500"/>
              </w:tabs>
              <w:rPr>
                <w:color w:val="FF0000"/>
              </w:rPr>
            </w:pPr>
            <w:r w:rsidRPr="000801F4">
              <w:t>Kam-Tao- D. G.Li, P., Szeto, C. C., Piraino, B., Bernadini, J., Figueiredo, A. E., Gupta, A., Johnson, D. W., Kuijper, E. J., Lye, W. C., Salzer, W., Schaefer, F. and Struijk (2010) Peritoneal dialysis related infections recommendations: 2010 update Peritoneal Dialysis International, 30, 393-423.</w:t>
            </w:r>
          </w:p>
        </w:tc>
      </w:tr>
    </w:tbl>
    <w:p w:rsidR="00E51045" w:rsidRPr="00CA3239" w:rsidRDefault="00E51045" w:rsidP="00E51045">
      <w:pPr>
        <w:tabs>
          <w:tab w:val="clear" w:pos="2400"/>
          <w:tab w:val="clear" w:pos="4500"/>
        </w:tabs>
        <w:ind w:left="720"/>
        <w:rPr>
          <w:color w:val="FF0000"/>
        </w:rPr>
      </w:pPr>
    </w:p>
    <w:p w:rsidR="00E51045" w:rsidRPr="00CA3239" w:rsidRDefault="00E51045" w:rsidP="00240069">
      <w:pPr>
        <w:tabs>
          <w:tab w:val="clear" w:pos="2400"/>
          <w:tab w:val="clear" w:pos="4500"/>
        </w:tabs>
        <w:rPr>
          <w:color w:val="FF0000"/>
        </w:rPr>
      </w:pPr>
    </w:p>
    <w:p w:rsidR="00E02362" w:rsidRDefault="00E02362" w:rsidP="00EA4C8D"/>
    <w:p w:rsidR="0021049D" w:rsidRPr="00240069" w:rsidRDefault="00E02362" w:rsidP="00240069">
      <w:pPr>
        <w:pStyle w:val="Heading1"/>
      </w:pPr>
      <w:r>
        <w:lastRenderedPageBreak/>
        <w:t>10.</w:t>
      </w:r>
      <w:r>
        <w:tab/>
      </w:r>
      <w:r w:rsidR="0021049D" w:rsidRPr="00240069">
        <w:t>REVISION &amp; APPROVAL HISTORY</w:t>
      </w:r>
    </w:p>
    <w:p w:rsidR="0021049D" w:rsidRDefault="0021049D" w:rsidP="0021049D">
      <w:pPr>
        <w:tabs>
          <w:tab w:val="clear" w:pos="2400"/>
          <w:tab w:val="clear" w:pos="4500"/>
        </w:tabs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6660"/>
      </w:tblGrid>
      <w:tr w:rsidR="002104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  <w:vAlign w:val="center"/>
          </w:tcPr>
          <w:p w:rsidR="0021049D" w:rsidRDefault="0021049D" w:rsidP="007D26ED">
            <w:pPr>
              <w:tabs>
                <w:tab w:val="clear" w:pos="2400"/>
                <w:tab w:val="clear" w:pos="4500"/>
                <w:tab w:val="left" w:pos="16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440" w:type="dxa"/>
            <w:vAlign w:val="center"/>
          </w:tcPr>
          <w:p w:rsidR="0021049D" w:rsidRDefault="0021049D" w:rsidP="007D26ED">
            <w:pPr>
              <w:tabs>
                <w:tab w:val="clear" w:pos="2400"/>
                <w:tab w:val="clear" w:pos="4500"/>
                <w:tab w:val="left" w:pos="16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Revision No.</w:t>
            </w:r>
          </w:p>
        </w:tc>
        <w:tc>
          <w:tcPr>
            <w:tcW w:w="6660" w:type="dxa"/>
            <w:vAlign w:val="center"/>
          </w:tcPr>
          <w:p w:rsidR="0021049D" w:rsidRDefault="0021049D" w:rsidP="007D26ED">
            <w:pPr>
              <w:tabs>
                <w:tab w:val="clear" w:pos="2400"/>
                <w:tab w:val="clear" w:pos="4500"/>
                <w:tab w:val="left" w:pos="16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Author and Approval</w:t>
            </w:r>
          </w:p>
        </w:tc>
      </w:tr>
      <w:tr w:rsidR="002104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21049D" w:rsidRDefault="00B92C66" w:rsidP="007D26ED">
            <w:pPr>
              <w:tabs>
                <w:tab w:val="clear" w:pos="2400"/>
                <w:tab w:val="clear" w:pos="4500"/>
                <w:tab w:val="left" w:pos="16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21049D" w:rsidRDefault="00B92C66" w:rsidP="007D26ED">
            <w:pPr>
              <w:tabs>
                <w:tab w:val="clear" w:pos="2400"/>
                <w:tab w:val="clear" w:pos="4500"/>
                <w:tab w:val="left" w:pos="162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27/8/13</w:t>
            </w:r>
          </w:p>
        </w:tc>
        <w:tc>
          <w:tcPr>
            <w:tcW w:w="6660" w:type="dxa"/>
          </w:tcPr>
          <w:p w:rsidR="0021049D" w:rsidRDefault="00B92C66" w:rsidP="007D26ED">
            <w:pPr>
              <w:tabs>
                <w:tab w:val="clear" w:pos="2400"/>
                <w:tab w:val="clear" w:pos="4500"/>
                <w:tab w:val="left" w:pos="16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M Kelleher</w:t>
            </w:r>
          </w:p>
        </w:tc>
      </w:tr>
    </w:tbl>
    <w:p w:rsidR="0021049D" w:rsidRDefault="0021049D" w:rsidP="0021049D">
      <w:pPr>
        <w:tabs>
          <w:tab w:val="clear" w:pos="4500"/>
          <w:tab w:val="left" w:pos="540"/>
        </w:tabs>
        <w:rPr>
          <w:b/>
        </w:rPr>
      </w:pPr>
    </w:p>
    <w:p w:rsidR="00C64270" w:rsidRDefault="00C64270" w:rsidP="0021049D">
      <w:pPr>
        <w:pStyle w:val="Heading1"/>
        <w:rPr>
          <w:i/>
          <w:color w:val="808080"/>
        </w:rPr>
      </w:pPr>
    </w:p>
    <w:p w:rsidR="00C64270" w:rsidRPr="00C64270" w:rsidRDefault="00C64270" w:rsidP="0021049D">
      <w:pPr>
        <w:pStyle w:val="Heading1"/>
        <w:rPr>
          <w:color w:val="000000"/>
        </w:rPr>
      </w:pPr>
      <w:r w:rsidRPr="00C64270">
        <w:rPr>
          <w:color w:val="000000"/>
        </w:rPr>
        <w:t>Appendix 1:</w:t>
      </w:r>
    </w:p>
    <w:p w:rsidR="00FC1327" w:rsidRPr="00C64270" w:rsidRDefault="00C64270" w:rsidP="0021049D">
      <w:pPr>
        <w:pStyle w:val="Heading1"/>
        <w:rPr>
          <w:i/>
          <w:color w:val="808080"/>
        </w:rPr>
      </w:pPr>
      <w:r w:rsidRPr="00C64270">
        <w:rPr>
          <w:i/>
          <w:color w:val="808080"/>
        </w:rPr>
        <w:t>Add Appendices (if applicable)</w:t>
      </w:r>
    </w:p>
    <w:sectPr w:rsidR="00FC1327" w:rsidRPr="00C64270" w:rsidSect="00FD2F8D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100" w:right="746" w:bottom="1618" w:left="900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F8" w:rsidRDefault="00AE2FF8">
      <w:r>
        <w:separator/>
      </w:r>
    </w:p>
  </w:endnote>
  <w:endnote w:type="continuationSeparator" w:id="0">
    <w:p w:rsidR="00AE2FF8" w:rsidRDefault="00AE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 w:rsidP="0070100C">
    <w:pPr>
      <w:tabs>
        <w:tab w:val="clear" w:pos="4500"/>
        <w:tab w:val="right" w:pos="10260"/>
      </w:tabs>
      <w:jc w:val="center"/>
      <w:rPr>
        <w:b/>
        <w:color w:val="FF0000"/>
        <w:sz w:val="36"/>
        <w:szCs w:val="36"/>
      </w:rPr>
    </w:pPr>
    <w:r w:rsidRPr="00A02D0E">
      <w:rPr>
        <w:b/>
        <w:color w:val="FF0000"/>
        <w:sz w:val="36"/>
        <w:szCs w:val="36"/>
      </w:rPr>
      <w:t xml:space="preserve">COMPLIANCE WITH THIS </w:t>
    </w:r>
    <w:r>
      <w:rPr>
        <w:b/>
        <w:color w:val="FF0000"/>
        <w:sz w:val="36"/>
        <w:szCs w:val="36"/>
      </w:rPr>
      <w:t>DOCUMENT</w:t>
    </w:r>
    <w:r w:rsidRPr="00A02D0E">
      <w:rPr>
        <w:b/>
        <w:color w:val="FF0000"/>
        <w:sz w:val="36"/>
        <w:szCs w:val="36"/>
      </w:rPr>
      <w:t xml:space="preserve"> IS MANDATORY</w:t>
    </w:r>
  </w:p>
  <w:p w:rsidR="003A4780" w:rsidRPr="00757923" w:rsidRDefault="003A4780" w:rsidP="0070100C">
    <w:pPr>
      <w:tabs>
        <w:tab w:val="clear" w:pos="4500"/>
        <w:tab w:val="right" w:pos="10260"/>
      </w:tabs>
      <w:spacing w:before="120"/>
      <w:jc w:val="center"/>
      <w:rPr>
        <w:sz w:val="22"/>
        <w:szCs w:val="22"/>
      </w:rPr>
    </w:pPr>
    <w:r>
      <w:rPr>
        <w:sz w:val="22"/>
        <w:szCs w:val="22"/>
      </w:rPr>
      <w:t xml:space="preserve">Feedback about this document can be sent to </w:t>
    </w:r>
    <w:hyperlink r:id="rId1" w:history="1">
      <w:r w:rsidRPr="009B33F8">
        <w:rPr>
          <w:rStyle w:val="Hyperlink"/>
          <w:sz w:val="22"/>
          <w:szCs w:val="22"/>
        </w:rPr>
        <w:t>powhpolicy@sesiahs.health.nsw.gov.au</w:t>
      </w:r>
    </w:hyperlink>
    <w:r>
      <w:rPr>
        <w:sz w:val="22"/>
        <w:szCs w:val="22"/>
      </w:rPr>
      <w:t xml:space="preserve"> </w:t>
    </w:r>
  </w:p>
  <w:p w:rsidR="003A4780" w:rsidRDefault="003A4780">
    <w:pPr>
      <w:tabs>
        <w:tab w:val="clear" w:pos="4500"/>
        <w:tab w:val="right" w:pos="10260"/>
      </w:tabs>
      <w:jc w:val="center"/>
      <w:rPr>
        <w:b/>
        <w:color w:val="FF0000"/>
        <w:sz w:val="36"/>
      </w:rPr>
    </w:pPr>
  </w:p>
  <w:p w:rsidR="003A4780" w:rsidRDefault="003A4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>
    <w:pPr>
      <w:pStyle w:val="Footer"/>
      <w:pBdr>
        <w:top w:val="single" w:sz="24" w:space="1" w:color="auto"/>
      </w:pBdr>
      <w:tabs>
        <w:tab w:val="clear" w:pos="2400"/>
        <w:tab w:val="clear" w:pos="4153"/>
        <w:tab w:val="clear" w:pos="8306"/>
        <w:tab w:val="center" w:pos="4500"/>
        <w:tab w:val="right" w:pos="10260"/>
      </w:tabs>
      <w:rPr>
        <w:rStyle w:val="PageNumber"/>
        <w:sz w:val="18"/>
      </w:rPr>
    </w:pPr>
    <w:r>
      <w:rPr>
        <w:sz w:val="18"/>
      </w:rPr>
      <w:t>REVISION 1</w:t>
    </w:r>
    <w:r>
      <w:rPr>
        <w:sz w:val="18"/>
      </w:rPr>
      <w:tab/>
      <w:t xml:space="preserve">Date: November 2012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720E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SECTIONPAGES   \* MERGEFORMAT ">
      <w:r w:rsidR="00A720E0" w:rsidRPr="00A720E0">
        <w:rPr>
          <w:noProof/>
          <w:sz w:val="18"/>
        </w:rPr>
        <w:t>5</w:t>
      </w:r>
    </w:fldSimple>
  </w:p>
  <w:p w:rsidR="003A4780" w:rsidRDefault="003A4780">
    <w:pPr>
      <w:pStyle w:val="Footer"/>
      <w:tabs>
        <w:tab w:val="clear" w:pos="4153"/>
        <w:tab w:val="clear" w:pos="4500"/>
        <w:tab w:val="clear" w:pos="8306"/>
      </w:tabs>
      <w:spacing w:before="60"/>
      <w:jc w:val="center"/>
      <w:rPr>
        <w:rStyle w:val="PageNumber"/>
        <w:sz w:val="18"/>
      </w:rPr>
    </w:pPr>
    <w:r>
      <w:rPr>
        <w:rStyle w:val="PageNumber"/>
        <w:sz w:val="18"/>
      </w:rPr>
      <w:t>THIS DOCUMENT BECOMES UNCONTROLLED WHEN PRINTED OR DOWNLOADED UNLESS REGISTERED BY LOCAL DOCUMENT CONTROL PROCEDURES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F8" w:rsidRDefault="00AE2FF8">
      <w:r>
        <w:separator/>
      </w:r>
    </w:p>
  </w:footnote>
  <w:footnote w:type="continuationSeparator" w:id="0">
    <w:p w:rsidR="00AE2FF8" w:rsidRDefault="00AE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 w:rsidP="00B07D1E">
    <w:pPr>
      <w:tabs>
        <w:tab w:val="clear" w:pos="2400"/>
        <w:tab w:val="clear" w:pos="4500"/>
        <w:tab w:val="right" w:pos="10260"/>
      </w:tabs>
      <w:spacing w:before="120" w:after="40"/>
      <w:jc w:val="right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8.25pt;margin-top:1.15pt;width:232.5pt;height:59.25pt;z-index:251657216" filled="f" stroked="f">
          <v:textbox>
            <w:txbxContent>
              <w:p w:rsidR="003A4780" w:rsidRDefault="003A4780" w:rsidP="009B59F5">
                <w:pPr>
                  <w:tabs>
                    <w:tab w:val="clear" w:pos="2400"/>
                    <w:tab w:val="clear" w:pos="4500"/>
                  </w:tabs>
                  <w:spacing w:before="60" w:after="60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CLINICAL BUSINESS RULE</w:t>
                </w:r>
              </w:p>
              <w:p w:rsidR="003A4780" w:rsidRDefault="003A4780" w:rsidP="009B59F5">
                <w:pPr>
                  <w:tabs>
                    <w:tab w:val="clear" w:pos="2400"/>
                    <w:tab w:val="clear" w:pos="4500"/>
                  </w:tabs>
                  <w:spacing w:before="60" w:after="60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COVER SHEET</w:t>
                </w:r>
              </w:p>
              <w:p w:rsidR="003A4780" w:rsidRDefault="003A4780"/>
            </w:txbxContent>
          </v:textbox>
        </v:shape>
      </w:pict>
    </w:r>
    <w:r>
      <w:t xml:space="preserve">             </w:t>
    </w:r>
    <w:r w:rsidRPr="007B78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8.75pt">
          <v:imagedata r:id="rId1" o:title=""/>
        </v:shape>
      </w:pict>
    </w:r>
    <w:r>
      <w:t xml:space="preserve"> </w:t>
    </w:r>
    <w:r w:rsidRPr="00960FF5">
      <w:rPr>
        <w:rFonts w:cs="Arial"/>
      </w:rPr>
      <w:pict>
        <v:shape id="_x0000_i1026" type="#_x0000_t75" style="width:46.5pt;height:46.5pt">
          <v:imagedata r:id="rId2" o:title="POWH - colour - jpg"/>
        </v:shape>
      </w:pict>
    </w:r>
    <w:r>
      <w:t xml:space="preserve">  </w:t>
    </w:r>
    <w:r w:rsidRPr="0053727C">
      <w:pict>
        <v:shape id="_x0000_i1027" type="#_x0000_t75" style="width:189pt;height:51.75pt">
          <v:imagedata r:id="rId3" o:title=""/>
        </v:shape>
      </w:pict>
    </w:r>
  </w:p>
  <w:p w:rsidR="003A4780" w:rsidRPr="00B07D1E" w:rsidRDefault="003A4780" w:rsidP="00B07D1E">
    <w:pPr>
      <w:tabs>
        <w:tab w:val="clear" w:pos="2400"/>
        <w:tab w:val="clear" w:pos="4500"/>
        <w:tab w:val="center" w:pos="7380"/>
        <w:tab w:val="right" w:pos="10260"/>
      </w:tabs>
      <w:spacing w:before="120" w:after="40"/>
      <w:jc w:val="right"/>
      <w:rPr>
        <w:b/>
        <w:color w:val="FF0000"/>
        <w:sz w:val="36"/>
      </w:rPr>
    </w:pPr>
  </w:p>
  <w:p w:rsidR="003A4780" w:rsidRPr="00BE4AD8" w:rsidRDefault="003A4780" w:rsidP="005D6B0F">
    <w:pPr>
      <w:pStyle w:val="Heading4"/>
      <w:rPr>
        <w:sz w:val="28"/>
        <w:lang w:eastAsia="en-AU"/>
      </w:rPr>
    </w:pPr>
    <w:r>
      <w:rPr>
        <w:sz w:val="28"/>
        <w:lang w:eastAsia="en-AU"/>
      </w:rPr>
      <w:t>Prince of Wales</w:t>
    </w:r>
    <w:r w:rsidRPr="00BE4AD8">
      <w:rPr>
        <w:sz w:val="28"/>
        <w:lang w:eastAsia="en-AU"/>
      </w:rPr>
      <w:t xml:space="preserve">/Sydney-Sydney Eye Hospitals and Health Services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>
    <w:pPr>
      <w:tabs>
        <w:tab w:val="clear" w:pos="2400"/>
        <w:tab w:val="clear" w:pos="4500"/>
        <w:tab w:val="center" w:pos="6120"/>
        <w:tab w:val="right" w:pos="10260"/>
      </w:tabs>
      <w:rPr>
        <w:b/>
        <w:color w:val="FF0000"/>
        <w:sz w:val="16"/>
      </w:rPr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8.25pt;margin-top:8.65pt;width:240pt;height:59.25pt;z-index:251658240" filled="f" stroked="f">
          <v:textbox>
            <w:txbxContent>
              <w:p w:rsidR="003A4780" w:rsidRDefault="003A4780" w:rsidP="009B59F5">
                <w:pPr>
                  <w:tabs>
                    <w:tab w:val="clear" w:pos="2400"/>
                    <w:tab w:val="clear" w:pos="4500"/>
                  </w:tabs>
                  <w:spacing w:before="60" w:after="60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CLINICAL BUSINESS RULE</w:t>
                </w:r>
              </w:p>
              <w:p w:rsidR="003A4780" w:rsidRDefault="003A4780" w:rsidP="009B59F5"/>
            </w:txbxContent>
          </v:textbox>
        </v:shape>
      </w:pict>
    </w:r>
    <w:r>
      <w:rPr>
        <w:bCs/>
        <w:color w:val="FF0000"/>
        <w:sz w:val="36"/>
      </w:rPr>
      <w:tab/>
    </w:r>
  </w:p>
  <w:p w:rsidR="003A4780" w:rsidRPr="00B370AF" w:rsidRDefault="003A4780" w:rsidP="00B370AF">
    <w:pPr>
      <w:tabs>
        <w:tab w:val="clear" w:pos="2400"/>
        <w:tab w:val="clear" w:pos="4500"/>
        <w:tab w:val="center" w:pos="6480"/>
        <w:tab w:val="right" w:pos="10260"/>
      </w:tabs>
      <w:rPr>
        <w:b/>
        <w:color w:val="FF0000"/>
        <w:sz w:val="36"/>
      </w:rPr>
    </w:pPr>
    <w:r>
      <w:t xml:space="preserve">                                                                     </w:t>
    </w:r>
    <w:r w:rsidRPr="007B78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7.5pt;height:48.75pt">
          <v:imagedata r:id="rId1" o:title=""/>
        </v:shape>
      </w:pict>
    </w:r>
    <w:r w:rsidRPr="00960FF5">
      <w:rPr>
        <w:rFonts w:cs="Arial"/>
      </w:rPr>
      <w:pict>
        <v:shape id="_x0000_i1029" type="#_x0000_t75" style="width:46.5pt;height:46.5pt">
          <v:imagedata r:id="rId2" o:title="POWH - colour - jpg"/>
        </v:shape>
      </w:pict>
    </w:r>
    <w:r>
      <w:rPr>
        <w:rFonts w:cs="Arial"/>
      </w:rPr>
      <w:t xml:space="preserve">  </w:t>
    </w:r>
    <w:r w:rsidRPr="0053727C">
      <w:pict>
        <v:shape id="_x0000_i1030" type="#_x0000_t75" style="width:189pt;height:51.75pt">
          <v:imagedata r:id="rId3" o:title=""/>
        </v:shape>
      </w:pict>
    </w:r>
  </w:p>
  <w:p w:rsidR="003A4780" w:rsidRPr="009B59F5" w:rsidRDefault="003A4780" w:rsidP="009B59F5">
    <w:pPr>
      <w:pStyle w:val="Heading4"/>
      <w:rPr>
        <w:sz w:val="28"/>
        <w:lang w:eastAsia="en-AU"/>
      </w:rPr>
    </w:pPr>
    <w:r w:rsidRPr="00BE4AD8">
      <w:rPr>
        <w:sz w:val="28"/>
        <w:lang w:eastAsia="en-AU"/>
      </w:rPr>
      <w:t xml:space="preserve">Prince </w:t>
    </w:r>
    <w:r>
      <w:rPr>
        <w:sz w:val="28"/>
        <w:lang w:eastAsia="en-AU"/>
      </w:rPr>
      <w:t xml:space="preserve">of Wales/Sydney-Sydney </w:t>
    </w:r>
    <w:r w:rsidRPr="00BE4AD8">
      <w:rPr>
        <w:sz w:val="28"/>
        <w:lang w:eastAsia="en-AU"/>
      </w:rPr>
      <w:t xml:space="preserve">Eye Hospitals and Health Services </w:t>
    </w:r>
  </w:p>
  <w:tbl>
    <w:tblPr>
      <w:tblW w:w="0" w:type="auto"/>
      <w:tblBorders>
        <w:top w:val="single" w:sz="24" w:space="0" w:color="auto"/>
        <w:bottom w:val="single" w:sz="24" w:space="0" w:color="auto"/>
      </w:tblBorders>
      <w:tblLayout w:type="fixed"/>
      <w:tblLook w:val="01E0" w:firstRow="1" w:lastRow="1" w:firstColumn="1" w:lastColumn="1" w:noHBand="0" w:noVBand="0"/>
    </w:tblPr>
    <w:tblGrid>
      <w:gridCol w:w="10080"/>
    </w:tblGrid>
    <w:tr w:rsidR="003A4780">
      <w:tc>
        <w:tcPr>
          <w:tcW w:w="10080" w:type="dxa"/>
          <w:tcBorders>
            <w:top w:val="single" w:sz="24" w:space="0" w:color="auto"/>
            <w:bottom w:val="single" w:sz="24" w:space="0" w:color="auto"/>
          </w:tcBorders>
        </w:tcPr>
        <w:p w:rsidR="003A4780" w:rsidRPr="0085078A" w:rsidRDefault="003A4780" w:rsidP="00C30700">
          <w:pPr>
            <w:tabs>
              <w:tab w:val="clear" w:pos="2400"/>
              <w:tab w:val="clear" w:pos="4500"/>
            </w:tabs>
            <w:spacing w:before="40"/>
            <w:rPr>
              <w:b/>
              <w:sz w:val="28"/>
            </w:rPr>
          </w:pPr>
          <w:r>
            <w:rPr>
              <w:b/>
              <w:sz w:val="28"/>
            </w:rPr>
            <w:t>Collection of peritoneal dialysis fluid sample for cell count and culture</w:t>
          </w:r>
        </w:p>
      </w:tc>
    </w:tr>
  </w:tbl>
  <w:p w:rsidR="003A4780" w:rsidRDefault="003A4780">
    <w:pPr>
      <w:pStyle w:val="Header"/>
      <w:tabs>
        <w:tab w:val="clear" w:pos="8306"/>
        <w:tab w:val="right" w:pos="882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0" w:rsidRDefault="003A4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A73"/>
    <w:multiLevelType w:val="hybridMultilevel"/>
    <w:tmpl w:val="6AA6B88C"/>
    <w:lvl w:ilvl="0" w:tplc="0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ACF5E33"/>
    <w:multiLevelType w:val="hybridMultilevel"/>
    <w:tmpl w:val="4C920B9E"/>
    <w:lvl w:ilvl="0" w:tplc="0C09001B">
      <w:start w:val="1"/>
      <w:numFmt w:val="lowerRoman"/>
      <w:lvlText w:val="%1."/>
      <w:lvlJc w:val="right"/>
      <w:pPr>
        <w:ind w:left="1470" w:hanging="360"/>
      </w:pPr>
    </w:lvl>
    <w:lvl w:ilvl="1" w:tplc="0C090019" w:tentative="1">
      <w:start w:val="1"/>
      <w:numFmt w:val="lowerLetter"/>
      <w:lvlText w:val="%2."/>
      <w:lvlJc w:val="left"/>
      <w:pPr>
        <w:ind w:left="2190" w:hanging="360"/>
      </w:pPr>
    </w:lvl>
    <w:lvl w:ilvl="2" w:tplc="0C09001B" w:tentative="1">
      <w:start w:val="1"/>
      <w:numFmt w:val="lowerRoman"/>
      <w:lvlText w:val="%3."/>
      <w:lvlJc w:val="right"/>
      <w:pPr>
        <w:ind w:left="2910" w:hanging="180"/>
      </w:pPr>
    </w:lvl>
    <w:lvl w:ilvl="3" w:tplc="0C09000F" w:tentative="1">
      <w:start w:val="1"/>
      <w:numFmt w:val="decimal"/>
      <w:lvlText w:val="%4."/>
      <w:lvlJc w:val="left"/>
      <w:pPr>
        <w:ind w:left="3630" w:hanging="360"/>
      </w:pPr>
    </w:lvl>
    <w:lvl w:ilvl="4" w:tplc="0C090019" w:tentative="1">
      <w:start w:val="1"/>
      <w:numFmt w:val="lowerLetter"/>
      <w:lvlText w:val="%5."/>
      <w:lvlJc w:val="left"/>
      <w:pPr>
        <w:ind w:left="4350" w:hanging="360"/>
      </w:pPr>
    </w:lvl>
    <w:lvl w:ilvl="5" w:tplc="0C09001B" w:tentative="1">
      <w:start w:val="1"/>
      <w:numFmt w:val="lowerRoman"/>
      <w:lvlText w:val="%6."/>
      <w:lvlJc w:val="right"/>
      <w:pPr>
        <w:ind w:left="5070" w:hanging="180"/>
      </w:pPr>
    </w:lvl>
    <w:lvl w:ilvl="6" w:tplc="0C09000F" w:tentative="1">
      <w:start w:val="1"/>
      <w:numFmt w:val="decimal"/>
      <w:lvlText w:val="%7."/>
      <w:lvlJc w:val="left"/>
      <w:pPr>
        <w:ind w:left="5790" w:hanging="360"/>
      </w:pPr>
    </w:lvl>
    <w:lvl w:ilvl="7" w:tplc="0C090019" w:tentative="1">
      <w:start w:val="1"/>
      <w:numFmt w:val="lowerLetter"/>
      <w:lvlText w:val="%8."/>
      <w:lvlJc w:val="left"/>
      <w:pPr>
        <w:ind w:left="6510" w:hanging="360"/>
      </w:pPr>
    </w:lvl>
    <w:lvl w:ilvl="8" w:tplc="0C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53F40BE0"/>
    <w:multiLevelType w:val="hybridMultilevel"/>
    <w:tmpl w:val="EE109712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3FBEBFAE">
      <w:start w:val="1"/>
      <w:numFmt w:val="bullet"/>
      <w:lvlText w:val=""/>
      <w:lvlJc w:val="left"/>
      <w:pPr>
        <w:ind w:left="39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D1A6647"/>
    <w:multiLevelType w:val="hybridMultilevel"/>
    <w:tmpl w:val="E67C9F8C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3FBEBFAE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3FBEBFAE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022345E"/>
    <w:multiLevelType w:val="hybridMultilevel"/>
    <w:tmpl w:val="6EC283AA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A3F46AA"/>
    <w:multiLevelType w:val="hybridMultilevel"/>
    <w:tmpl w:val="4202B478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B322CDA"/>
    <w:multiLevelType w:val="hybridMultilevel"/>
    <w:tmpl w:val="DAF0E604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C3C7E7E"/>
    <w:multiLevelType w:val="hybridMultilevel"/>
    <w:tmpl w:val="E9CE1BAC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E253203"/>
    <w:multiLevelType w:val="hybridMultilevel"/>
    <w:tmpl w:val="30B60DB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141"/>
    <w:rsid w:val="00007961"/>
    <w:rsid w:val="0001088D"/>
    <w:rsid w:val="000378E4"/>
    <w:rsid w:val="00045609"/>
    <w:rsid w:val="000766A0"/>
    <w:rsid w:val="000801F4"/>
    <w:rsid w:val="00080D2D"/>
    <w:rsid w:val="00087B21"/>
    <w:rsid w:val="000A1141"/>
    <w:rsid w:val="000A4312"/>
    <w:rsid w:val="000D7DF7"/>
    <w:rsid w:val="001036E1"/>
    <w:rsid w:val="00105BB8"/>
    <w:rsid w:val="00117108"/>
    <w:rsid w:val="00123964"/>
    <w:rsid w:val="00137A8E"/>
    <w:rsid w:val="001407FC"/>
    <w:rsid w:val="001456BC"/>
    <w:rsid w:val="00164DDC"/>
    <w:rsid w:val="00170A0F"/>
    <w:rsid w:val="001831CE"/>
    <w:rsid w:val="001B64EA"/>
    <w:rsid w:val="001C00B1"/>
    <w:rsid w:val="001D658A"/>
    <w:rsid w:val="001D73E8"/>
    <w:rsid w:val="001F2A28"/>
    <w:rsid w:val="001F6AAE"/>
    <w:rsid w:val="002057E3"/>
    <w:rsid w:val="002103C4"/>
    <w:rsid w:val="0021049D"/>
    <w:rsid w:val="00215165"/>
    <w:rsid w:val="00221C55"/>
    <w:rsid w:val="00230678"/>
    <w:rsid w:val="00240069"/>
    <w:rsid w:val="00260F20"/>
    <w:rsid w:val="00262D7F"/>
    <w:rsid w:val="002630F1"/>
    <w:rsid w:val="0028005D"/>
    <w:rsid w:val="002F337B"/>
    <w:rsid w:val="00345CCC"/>
    <w:rsid w:val="00364142"/>
    <w:rsid w:val="003861BD"/>
    <w:rsid w:val="003913BF"/>
    <w:rsid w:val="003A1E70"/>
    <w:rsid w:val="003A4780"/>
    <w:rsid w:val="003A6621"/>
    <w:rsid w:val="003C0354"/>
    <w:rsid w:val="003D6CE9"/>
    <w:rsid w:val="003F3900"/>
    <w:rsid w:val="00402722"/>
    <w:rsid w:val="00403FA3"/>
    <w:rsid w:val="00406B33"/>
    <w:rsid w:val="00431585"/>
    <w:rsid w:val="004315DB"/>
    <w:rsid w:val="00436A4F"/>
    <w:rsid w:val="0044204C"/>
    <w:rsid w:val="004631ED"/>
    <w:rsid w:val="00493050"/>
    <w:rsid w:val="004F7687"/>
    <w:rsid w:val="00503E85"/>
    <w:rsid w:val="00517D6C"/>
    <w:rsid w:val="0052784C"/>
    <w:rsid w:val="005472EF"/>
    <w:rsid w:val="00554B2C"/>
    <w:rsid w:val="005720D5"/>
    <w:rsid w:val="005909EE"/>
    <w:rsid w:val="00591A7E"/>
    <w:rsid w:val="00596F8F"/>
    <w:rsid w:val="005D6B0F"/>
    <w:rsid w:val="005D7142"/>
    <w:rsid w:val="006100E7"/>
    <w:rsid w:val="00616BA0"/>
    <w:rsid w:val="00635186"/>
    <w:rsid w:val="00635869"/>
    <w:rsid w:val="00697BFD"/>
    <w:rsid w:val="006A4523"/>
    <w:rsid w:val="006E372D"/>
    <w:rsid w:val="006E593D"/>
    <w:rsid w:val="006F4332"/>
    <w:rsid w:val="0070100C"/>
    <w:rsid w:val="00713695"/>
    <w:rsid w:val="00752687"/>
    <w:rsid w:val="0076126B"/>
    <w:rsid w:val="00780157"/>
    <w:rsid w:val="0078283B"/>
    <w:rsid w:val="007D26ED"/>
    <w:rsid w:val="0083432D"/>
    <w:rsid w:val="008359EF"/>
    <w:rsid w:val="00843143"/>
    <w:rsid w:val="00847127"/>
    <w:rsid w:val="0085078A"/>
    <w:rsid w:val="00877924"/>
    <w:rsid w:val="008816D6"/>
    <w:rsid w:val="00890CD4"/>
    <w:rsid w:val="008D14D6"/>
    <w:rsid w:val="008E78D1"/>
    <w:rsid w:val="009043A6"/>
    <w:rsid w:val="00906DFF"/>
    <w:rsid w:val="0093019A"/>
    <w:rsid w:val="009306DA"/>
    <w:rsid w:val="00967415"/>
    <w:rsid w:val="0097724C"/>
    <w:rsid w:val="009807D9"/>
    <w:rsid w:val="00994C34"/>
    <w:rsid w:val="009A4B0D"/>
    <w:rsid w:val="009B4865"/>
    <w:rsid w:val="009B59F5"/>
    <w:rsid w:val="009C76BD"/>
    <w:rsid w:val="009F5FEF"/>
    <w:rsid w:val="00A257C6"/>
    <w:rsid w:val="00A50ECB"/>
    <w:rsid w:val="00A575D3"/>
    <w:rsid w:val="00A720E0"/>
    <w:rsid w:val="00A86301"/>
    <w:rsid w:val="00A91E90"/>
    <w:rsid w:val="00A96495"/>
    <w:rsid w:val="00AA4EA6"/>
    <w:rsid w:val="00AB3577"/>
    <w:rsid w:val="00AB40EB"/>
    <w:rsid w:val="00AB559F"/>
    <w:rsid w:val="00AE2FF8"/>
    <w:rsid w:val="00B0242C"/>
    <w:rsid w:val="00B05A51"/>
    <w:rsid w:val="00B07D1E"/>
    <w:rsid w:val="00B112DD"/>
    <w:rsid w:val="00B22672"/>
    <w:rsid w:val="00B26D84"/>
    <w:rsid w:val="00B370AF"/>
    <w:rsid w:val="00B56356"/>
    <w:rsid w:val="00B73AE3"/>
    <w:rsid w:val="00B92C66"/>
    <w:rsid w:val="00BA70D2"/>
    <w:rsid w:val="00BC27C1"/>
    <w:rsid w:val="00BD7C1E"/>
    <w:rsid w:val="00BE06EC"/>
    <w:rsid w:val="00BE4AD8"/>
    <w:rsid w:val="00C1437D"/>
    <w:rsid w:val="00C2033D"/>
    <w:rsid w:val="00C20542"/>
    <w:rsid w:val="00C30700"/>
    <w:rsid w:val="00C64270"/>
    <w:rsid w:val="00C7292E"/>
    <w:rsid w:val="00C75A4C"/>
    <w:rsid w:val="00C876B6"/>
    <w:rsid w:val="00C91BEF"/>
    <w:rsid w:val="00CA3239"/>
    <w:rsid w:val="00CA723D"/>
    <w:rsid w:val="00CE1E21"/>
    <w:rsid w:val="00D07B17"/>
    <w:rsid w:val="00D24FD0"/>
    <w:rsid w:val="00D33173"/>
    <w:rsid w:val="00D7108B"/>
    <w:rsid w:val="00D71B80"/>
    <w:rsid w:val="00D82C8D"/>
    <w:rsid w:val="00D8379C"/>
    <w:rsid w:val="00DA55C8"/>
    <w:rsid w:val="00DD7023"/>
    <w:rsid w:val="00DF33F0"/>
    <w:rsid w:val="00E02362"/>
    <w:rsid w:val="00E24F6D"/>
    <w:rsid w:val="00E25ED1"/>
    <w:rsid w:val="00E51045"/>
    <w:rsid w:val="00E5136F"/>
    <w:rsid w:val="00E54F48"/>
    <w:rsid w:val="00E63680"/>
    <w:rsid w:val="00E65FB0"/>
    <w:rsid w:val="00E80CF7"/>
    <w:rsid w:val="00E86685"/>
    <w:rsid w:val="00EA4C8D"/>
    <w:rsid w:val="00EA7B1B"/>
    <w:rsid w:val="00ED35CC"/>
    <w:rsid w:val="00EE10E4"/>
    <w:rsid w:val="00F60237"/>
    <w:rsid w:val="00F73FDB"/>
    <w:rsid w:val="00F97E46"/>
    <w:rsid w:val="00FC1327"/>
    <w:rsid w:val="00FD2F8D"/>
    <w:rsid w:val="00FD326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F8D"/>
    <w:pPr>
      <w:tabs>
        <w:tab w:val="right" w:pos="2400"/>
        <w:tab w:val="left" w:pos="4500"/>
      </w:tabs>
    </w:pPr>
    <w:rPr>
      <w:rFonts w:ascii="Arial" w:hAnsi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FD2F8D"/>
    <w:pPr>
      <w:keepNext/>
      <w:tabs>
        <w:tab w:val="clear" w:pos="2400"/>
        <w:tab w:val="clear" w:pos="4500"/>
      </w:tabs>
      <w:spacing w:before="12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FD2F8D"/>
    <w:pPr>
      <w:keepNext/>
      <w:tabs>
        <w:tab w:val="clear" w:pos="2400"/>
        <w:tab w:val="clear" w:pos="4500"/>
        <w:tab w:val="left" w:pos="709"/>
      </w:tabs>
      <w:spacing w:before="6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D2F8D"/>
    <w:pPr>
      <w:keepNext/>
      <w:tabs>
        <w:tab w:val="clear" w:pos="2400"/>
        <w:tab w:val="clear" w:pos="4500"/>
        <w:tab w:val="left" w:pos="709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2F8D"/>
    <w:pPr>
      <w:keepNext/>
      <w:tabs>
        <w:tab w:val="clear" w:pos="2400"/>
        <w:tab w:val="clear" w:pos="4500"/>
        <w:tab w:val="center" w:pos="7380"/>
      </w:tabs>
      <w:spacing w:before="120" w:after="40"/>
      <w:outlineLvl w:val="3"/>
    </w:pPr>
    <w:rPr>
      <w:b/>
      <w:color w:val="80808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D2F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2F8D"/>
    <w:pPr>
      <w:tabs>
        <w:tab w:val="center" w:pos="4153"/>
        <w:tab w:val="right" w:pos="8306"/>
      </w:tabs>
    </w:pPr>
  </w:style>
  <w:style w:type="character" w:styleId="PageNumber">
    <w:name w:val="page number"/>
    <w:rsid w:val="00FD2F8D"/>
    <w:rPr>
      <w:rFonts w:cs="Times New Roman"/>
    </w:rPr>
  </w:style>
  <w:style w:type="paragraph" w:styleId="DocumentMap">
    <w:name w:val="Document Map"/>
    <w:basedOn w:val="Normal"/>
    <w:semiHidden/>
    <w:rsid w:val="00FD2F8D"/>
    <w:pPr>
      <w:shd w:val="clear" w:color="auto" w:fill="000080"/>
    </w:pPr>
    <w:rPr>
      <w:rFonts w:ascii="Tahoma" w:hAnsi="Tahoma" w:cs="Tahoma"/>
    </w:rPr>
  </w:style>
  <w:style w:type="character" w:customStyle="1" w:styleId="NormalChar">
    <w:name w:val="Normal Char"/>
    <w:rsid w:val="00FD2F8D"/>
    <w:rPr>
      <w:rFonts w:ascii="Arial" w:hAnsi="Arial" w:cs="Times New Roman"/>
      <w:sz w:val="24"/>
      <w:szCs w:val="24"/>
      <w:lang w:val="en-AU" w:eastAsia="en-US" w:bidi="ar-SA"/>
    </w:rPr>
  </w:style>
  <w:style w:type="paragraph" w:customStyle="1" w:styleId="Default">
    <w:name w:val="Default"/>
    <w:rsid w:val="000A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3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3067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semiHidden/>
    <w:rsid w:val="00DA55C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A55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55C8"/>
    <w:rPr>
      <w:b/>
      <w:bCs/>
    </w:rPr>
  </w:style>
  <w:style w:type="character" w:styleId="Hyperlink">
    <w:name w:val="Hyperlink"/>
    <w:rsid w:val="0070100C"/>
    <w:rPr>
      <w:color w:val="0000FF"/>
      <w:u w:val="single"/>
    </w:rPr>
  </w:style>
  <w:style w:type="table" w:styleId="TableGrid">
    <w:name w:val="Table Grid"/>
    <w:basedOn w:val="TableNormal"/>
    <w:rsid w:val="00A863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ListBullet"/>
    <w:next w:val="ListBullet3"/>
    <w:autoRedefine/>
    <w:uiPriority w:val="34"/>
    <w:qFormat/>
    <w:rsid w:val="003913BF"/>
    <w:pPr>
      <w:numPr>
        <w:numId w:val="0"/>
      </w:numPr>
      <w:ind w:left="1080"/>
    </w:pPr>
    <w:rPr>
      <w:lang w:eastAsia="en-AU"/>
    </w:rPr>
  </w:style>
  <w:style w:type="paragraph" w:styleId="ListBullet">
    <w:name w:val="List Bullet"/>
    <w:basedOn w:val="Normal"/>
    <w:rsid w:val="003913BF"/>
    <w:pPr>
      <w:numPr>
        <w:numId w:val="3"/>
      </w:numPr>
      <w:contextualSpacing/>
    </w:pPr>
  </w:style>
  <w:style w:type="paragraph" w:styleId="ListBullet3">
    <w:name w:val="List Bullet 3"/>
    <w:basedOn w:val="Normal"/>
    <w:rsid w:val="003913B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hpolicy@sesiahs.health.nsw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3574454F3447964BB5F46B66C4F5" ma:contentTypeVersion="1" ma:contentTypeDescription="Create a new document." ma:contentTypeScope="" ma:versionID="8698a79c0620b7987d3efcc405b912f8">
  <xsd:schema xmlns:xsd="http://www.w3.org/2001/XMLSchema" xmlns:xs="http://www.w3.org/2001/XMLSchema" xmlns:p="http://schemas.microsoft.com/office/2006/metadata/properties" xmlns:ns2="19c241f2-de7a-4cb2-bc54-1f29667f092b" targetNamespace="http://schemas.microsoft.com/office/2006/metadata/properties" ma:root="true" ma:fieldsID="ea6b33dd34270ed7583afa199260204b" ns2:_="">
    <xsd:import namespace="19c241f2-de7a-4cb2-bc54-1f29667f092b"/>
    <xsd:element name="properties">
      <xsd:complexType>
        <xsd:sequence>
          <xsd:element name="documentManagement">
            <xsd:complexType>
              <xsd:all>
                <xsd:element ref="ns2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241f2-de7a-4cb2-bc54-1f29667f092b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9c241f2-de7a-4cb2-bc54-1f29667f092b">*</Abs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2AE96D-44BB-4512-A6A1-958B76F00B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6353B2-75A4-484C-80F3-52EBEFE8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241f2-de7a-4cb2-bc54-1f29667f0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1BFD9-BA92-43D7-B828-4FBC2949D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459B5-8ED2-4B27-B639-44AC720184EB}">
  <ds:schemaRefs>
    <ds:schemaRef ds:uri="19c241f2-de7a-4cb2-bc54-1f29667f092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3349EB-9421-4E98-9C1D-C8B900ED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Home PC</Company>
  <LinksUpToDate>false</LinksUpToDate>
  <CharactersWithSpaces>5901</CharactersWithSpaces>
  <SharedDoc>false</SharedDoc>
  <HLinks>
    <vt:vector size="6" baseType="variant"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mailto:powhpolicy@sesiahs.health.nsw.gov.au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kilbyl</dc:creator>
  <cp:keywords/>
  <dc:description/>
  <cp:lastModifiedBy>mackenziej</cp:lastModifiedBy>
  <cp:revision>2</cp:revision>
  <cp:lastPrinted>2012-10-23T00:54:00Z</cp:lastPrinted>
  <dcterms:created xsi:type="dcterms:W3CDTF">2014-04-09T04:22:00Z</dcterms:created>
  <dcterms:modified xsi:type="dcterms:W3CDTF">2014-04-09T04:22:00Z</dcterms:modified>
</cp:coreProperties>
</file>